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87B" w:rsidRPr="00CD06C7" w:rsidRDefault="001964D6" w:rsidP="0092587B">
      <w:pPr>
        <w:pBdr>
          <w:bottom w:val="single" w:sz="6" w:space="1" w:color="auto"/>
        </w:pBdr>
        <w:tabs>
          <w:tab w:val="center" w:pos="4536"/>
        </w:tabs>
        <w:ind w:left="-142"/>
        <w:rPr>
          <w:lang w:val="bg-BG" w:eastAsia="bg-BG"/>
        </w:rPr>
      </w:pPr>
      <w:r>
        <w:rPr>
          <w:noProof/>
          <w:lang w:val="bg-BG" w:eastAsia="bg-BG"/>
        </w:rPr>
        <w:drawing>
          <wp:anchor distT="0" distB="0" distL="114300" distR="114300" simplePos="0" relativeHeight="251658240" behindDoc="1" locked="0" layoutInCell="1" allowOverlap="1">
            <wp:simplePos x="0" y="0"/>
            <wp:positionH relativeFrom="column">
              <wp:align>center</wp:align>
            </wp:positionH>
            <wp:positionV relativeFrom="paragraph">
              <wp:posOffset>32385</wp:posOffset>
            </wp:positionV>
            <wp:extent cx="731520" cy="739775"/>
            <wp:effectExtent l="1905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731520" cy="739775"/>
                    </a:xfrm>
                    <a:prstGeom prst="rect">
                      <a:avLst/>
                    </a:prstGeom>
                    <a:noFill/>
                    <a:ln w="9525">
                      <a:noFill/>
                      <a:miter lim="800000"/>
                      <a:headEnd/>
                      <a:tailEnd/>
                    </a:ln>
                  </pic:spPr>
                </pic:pic>
              </a:graphicData>
            </a:graphic>
          </wp:anchor>
        </w:drawing>
      </w:r>
      <w:r>
        <w:rPr>
          <w:noProof/>
          <w:lang w:val="bg-BG" w:eastAsia="bg-BG"/>
        </w:rPr>
        <w:drawing>
          <wp:anchor distT="0" distB="0" distL="114300" distR="114300" simplePos="0" relativeHeight="251657216" behindDoc="0" locked="0" layoutInCell="1" allowOverlap="1">
            <wp:simplePos x="0" y="0"/>
            <wp:positionH relativeFrom="column">
              <wp:align>right</wp:align>
            </wp:positionH>
            <wp:positionV relativeFrom="paragraph">
              <wp:posOffset>25400</wp:posOffset>
            </wp:positionV>
            <wp:extent cx="2162810" cy="747395"/>
            <wp:effectExtent l="19050" t="0" r="889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162810" cy="747395"/>
                    </a:xfrm>
                    <a:prstGeom prst="rect">
                      <a:avLst/>
                    </a:prstGeom>
                    <a:noFill/>
                    <a:ln w="9525">
                      <a:noFill/>
                      <a:miter lim="800000"/>
                      <a:headEnd/>
                      <a:tailEnd/>
                    </a:ln>
                  </pic:spPr>
                </pic:pic>
              </a:graphicData>
            </a:graphic>
          </wp:anchor>
        </w:drawing>
      </w:r>
      <w:r>
        <w:rPr>
          <w:noProof/>
          <w:lang w:val="bg-BG" w:eastAsia="bg-BG"/>
        </w:rPr>
        <w:drawing>
          <wp:inline distT="0" distB="0" distL="0" distR="0">
            <wp:extent cx="2203450" cy="7683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203450" cy="768350"/>
                    </a:xfrm>
                    <a:prstGeom prst="rect">
                      <a:avLst/>
                    </a:prstGeom>
                    <a:noFill/>
                    <a:ln w="9525">
                      <a:noFill/>
                      <a:miter lim="800000"/>
                      <a:headEnd/>
                      <a:tailEnd/>
                    </a:ln>
                  </pic:spPr>
                </pic:pic>
              </a:graphicData>
            </a:graphic>
          </wp:inline>
        </w:drawing>
      </w:r>
      <w:r w:rsidR="0092587B" w:rsidRPr="00CD06C7">
        <w:rPr>
          <w:noProof/>
          <w:lang w:val="bg-BG" w:eastAsia="bg-BG"/>
        </w:rPr>
        <w:tab/>
      </w:r>
      <w:r w:rsidR="0092587B" w:rsidRPr="00CD06C7">
        <w:rPr>
          <w:noProof/>
          <w:lang w:val="bg-BG" w:eastAsia="bg-BG"/>
        </w:rPr>
        <w:tab/>
      </w:r>
    </w:p>
    <w:p w:rsidR="0092587B" w:rsidRPr="00CD06C7" w:rsidRDefault="0092587B" w:rsidP="00346418">
      <w:pPr>
        <w:jc w:val="center"/>
        <w:rPr>
          <w:b/>
          <w:sz w:val="28"/>
          <w:szCs w:val="28"/>
          <w:lang w:val="bg-BG"/>
        </w:rPr>
      </w:pPr>
    </w:p>
    <w:p w:rsidR="00252E9F" w:rsidRPr="00CD06C7" w:rsidRDefault="00D96EB3" w:rsidP="009A6DAE">
      <w:pPr>
        <w:ind w:left="360"/>
        <w:jc w:val="center"/>
        <w:rPr>
          <w:b/>
          <w:bCs/>
          <w:i/>
          <w:iCs/>
          <w:sz w:val="28"/>
          <w:szCs w:val="28"/>
          <w:lang w:val="bg-BG" w:bidi="bg-BG"/>
        </w:rPr>
      </w:pPr>
      <w:r w:rsidRPr="00CD06C7">
        <w:rPr>
          <w:b/>
          <w:sz w:val="28"/>
          <w:szCs w:val="28"/>
          <w:lang w:val="bg-BG" w:bidi="bg-BG"/>
        </w:rPr>
        <w:t xml:space="preserve">Справка за получените предложения и </w:t>
      </w:r>
      <w:r w:rsidR="00DB7DD5" w:rsidRPr="00CD06C7">
        <w:rPr>
          <w:b/>
          <w:sz w:val="28"/>
          <w:szCs w:val="28"/>
          <w:lang w:val="bg-BG" w:bidi="bg-BG"/>
        </w:rPr>
        <w:t>коментари</w:t>
      </w:r>
      <w:r w:rsidRPr="00CD06C7">
        <w:rPr>
          <w:b/>
          <w:sz w:val="28"/>
          <w:szCs w:val="28"/>
          <w:lang w:val="bg-BG" w:bidi="bg-BG"/>
        </w:rPr>
        <w:t xml:space="preserve"> на заинтересованите лица по </w:t>
      </w:r>
      <w:r w:rsidR="00DB7DD5" w:rsidRPr="00CD06C7">
        <w:rPr>
          <w:b/>
          <w:sz w:val="28"/>
          <w:szCs w:val="28"/>
          <w:lang w:val="bg-BG" w:bidi="bg-BG"/>
        </w:rPr>
        <w:t xml:space="preserve">проект на Насоки за кандидатстване по </w:t>
      </w:r>
      <w:r w:rsidRPr="00CD06C7">
        <w:rPr>
          <w:b/>
          <w:sz w:val="28"/>
          <w:szCs w:val="28"/>
          <w:lang w:val="bg-BG" w:bidi="bg-BG"/>
        </w:rPr>
        <w:t xml:space="preserve">процедура </w:t>
      </w:r>
      <w:r w:rsidR="009A6DAE" w:rsidRPr="00CD06C7">
        <w:rPr>
          <w:b/>
          <w:bCs/>
          <w:i/>
          <w:iCs/>
          <w:sz w:val="28"/>
          <w:szCs w:val="28"/>
          <w:lang w:val="bg-BG" w:bidi="bg-BG"/>
        </w:rPr>
        <w:t>BG16RFOP001-4.002 „Регионална здравна инфраструктура -2”</w:t>
      </w:r>
    </w:p>
    <w:p w:rsidR="00346418" w:rsidRPr="00CD06C7" w:rsidRDefault="00D96EB3" w:rsidP="009A6DAE">
      <w:pPr>
        <w:jc w:val="center"/>
        <w:rPr>
          <w:i/>
          <w:sz w:val="28"/>
          <w:szCs w:val="28"/>
          <w:lang w:val="bg-BG"/>
        </w:rPr>
      </w:pPr>
      <w:r w:rsidRPr="00CD06C7">
        <w:rPr>
          <w:b/>
          <w:sz w:val="28"/>
          <w:szCs w:val="28"/>
          <w:lang w:val="bg-BG" w:bidi="bg-BG"/>
        </w:rPr>
        <w:t xml:space="preserve">и степента им на отразяване от Управляващия орган на </w:t>
      </w:r>
      <w:r w:rsidR="00DB7DD5" w:rsidRPr="00CD06C7">
        <w:rPr>
          <w:b/>
          <w:sz w:val="28"/>
          <w:szCs w:val="28"/>
          <w:lang w:val="bg-BG" w:bidi="bg-BG"/>
        </w:rPr>
        <w:t>О</w:t>
      </w:r>
      <w:r w:rsidRPr="00CD06C7">
        <w:rPr>
          <w:b/>
          <w:sz w:val="28"/>
          <w:szCs w:val="28"/>
          <w:lang w:val="bg-BG" w:bidi="bg-BG"/>
        </w:rPr>
        <w:t>перативна програма „Региони в растеж</w:t>
      </w:r>
      <w:r w:rsidR="00DB7DD5" w:rsidRPr="00CD06C7">
        <w:rPr>
          <w:b/>
          <w:sz w:val="28"/>
          <w:szCs w:val="28"/>
          <w:lang w:val="bg-BG" w:bidi="bg-BG"/>
        </w:rPr>
        <w:t>“</w:t>
      </w:r>
      <w:r w:rsidRPr="00CD06C7">
        <w:rPr>
          <w:b/>
          <w:sz w:val="28"/>
          <w:szCs w:val="28"/>
          <w:lang w:val="bg-BG" w:bidi="bg-BG"/>
        </w:rPr>
        <w:t xml:space="preserve"> 2014-2020 г.</w:t>
      </w:r>
    </w:p>
    <w:p w:rsidR="00346418" w:rsidRPr="00CD06C7" w:rsidRDefault="00346418" w:rsidP="00346418">
      <w:pPr>
        <w:jc w:val="center"/>
        <w:rPr>
          <w:b/>
          <w:i/>
          <w:sz w:val="28"/>
          <w:szCs w:val="28"/>
          <w:lang w:val="bg-BG"/>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9"/>
        <w:gridCol w:w="7020"/>
        <w:gridCol w:w="3852"/>
      </w:tblGrid>
      <w:tr w:rsidR="00346418" w:rsidRPr="00CD06C7" w:rsidTr="0094065D">
        <w:tc>
          <w:tcPr>
            <w:tcW w:w="4579" w:type="dxa"/>
          </w:tcPr>
          <w:p w:rsidR="00346418" w:rsidRPr="00CD06C7" w:rsidRDefault="00D96EB3" w:rsidP="00DB7DD5">
            <w:pPr>
              <w:jc w:val="center"/>
              <w:rPr>
                <w:b/>
                <w:lang w:val="bg-BG"/>
              </w:rPr>
            </w:pPr>
            <w:r w:rsidRPr="00CD06C7">
              <w:rPr>
                <w:b/>
                <w:lang w:val="bg-BG" w:bidi="bg-BG"/>
              </w:rPr>
              <w:t>Данни на подателя</w:t>
            </w:r>
          </w:p>
        </w:tc>
        <w:tc>
          <w:tcPr>
            <w:tcW w:w="7020" w:type="dxa"/>
          </w:tcPr>
          <w:p w:rsidR="00D96EB3" w:rsidRPr="00CD06C7" w:rsidRDefault="00DB7DD5" w:rsidP="00D24085">
            <w:pPr>
              <w:jc w:val="center"/>
              <w:rPr>
                <w:b/>
                <w:lang w:val="bg-BG" w:bidi="bg-BG"/>
              </w:rPr>
            </w:pPr>
            <w:r w:rsidRPr="00CD06C7">
              <w:rPr>
                <w:b/>
                <w:lang w:val="bg-BG" w:bidi="bg-BG"/>
              </w:rPr>
              <w:t>Коментар/Предложение</w:t>
            </w:r>
          </w:p>
          <w:p w:rsidR="00346418" w:rsidRPr="00CD06C7" w:rsidRDefault="00346418" w:rsidP="00D24085">
            <w:pPr>
              <w:jc w:val="both"/>
              <w:rPr>
                <w:b/>
                <w:lang w:val="bg-BG"/>
              </w:rPr>
            </w:pPr>
          </w:p>
        </w:tc>
        <w:tc>
          <w:tcPr>
            <w:tcW w:w="3852" w:type="dxa"/>
          </w:tcPr>
          <w:p w:rsidR="00346418" w:rsidRPr="00CD06C7" w:rsidRDefault="00D96EB3" w:rsidP="00DB7DD5">
            <w:pPr>
              <w:jc w:val="center"/>
              <w:rPr>
                <w:b/>
                <w:iCs/>
                <w:lang w:val="bg-BG"/>
              </w:rPr>
            </w:pPr>
            <w:r w:rsidRPr="00CD06C7">
              <w:rPr>
                <w:b/>
                <w:iCs/>
                <w:lang w:val="bg-BG" w:bidi="bg-BG"/>
              </w:rPr>
              <w:t>Становище на УО на ОПРР 2014-2020</w:t>
            </w:r>
          </w:p>
        </w:tc>
      </w:tr>
      <w:tr w:rsidR="00F62093" w:rsidRPr="00CD06C7" w:rsidTr="0094065D">
        <w:tc>
          <w:tcPr>
            <w:tcW w:w="4579" w:type="dxa"/>
          </w:tcPr>
          <w:tbl>
            <w:tblPr>
              <w:tblW w:w="3761" w:type="dxa"/>
              <w:tblBorders>
                <w:top w:val="nil"/>
                <w:left w:val="nil"/>
                <w:bottom w:val="nil"/>
                <w:right w:val="nil"/>
              </w:tblBorders>
              <w:tblLayout w:type="fixed"/>
              <w:tblLook w:val="0000" w:firstRow="0" w:lastRow="0" w:firstColumn="0" w:lastColumn="0" w:noHBand="0" w:noVBand="0"/>
            </w:tblPr>
            <w:tblGrid>
              <w:gridCol w:w="3761"/>
            </w:tblGrid>
            <w:tr w:rsidR="008070D5" w:rsidRPr="00CD06C7" w:rsidTr="0094065D">
              <w:trPr>
                <w:trHeight w:val="224"/>
              </w:trPr>
              <w:tc>
                <w:tcPr>
                  <w:tcW w:w="3761" w:type="dxa"/>
                </w:tcPr>
                <w:p w:rsidR="008070D5" w:rsidRPr="00CD06C7" w:rsidRDefault="008070D5" w:rsidP="008070D5">
                  <w:pPr>
                    <w:pStyle w:val="Default"/>
                    <w:rPr>
                      <w:sz w:val="22"/>
                      <w:szCs w:val="22"/>
                    </w:rPr>
                  </w:pPr>
                  <w:r w:rsidRPr="00CD06C7">
                    <w:rPr>
                      <w:b/>
                      <w:bCs/>
                      <w:sz w:val="22"/>
                      <w:szCs w:val="22"/>
                    </w:rPr>
                    <w:t xml:space="preserve">Министерство на финансите, </w:t>
                  </w:r>
                </w:p>
                <w:p w:rsidR="008070D5" w:rsidRPr="00CD06C7" w:rsidRDefault="008070D5" w:rsidP="008070D5">
                  <w:pPr>
                    <w:pStyle w:val="Default"/>
                    <w:rPr>
                      <w:b/>
                      <w:bCs/>
                      <w:sz w:val="22"/>
                      <w:szCs w:val="22"/>
                    </w:rPr>
                  </w:pPr>
                  <w:r w:rsidRPr="00CD06C7">
                    <w:rPr>
                      <w:b/>
                      <w:bCs/>
                      <w:sz w:val="22"/>
                      <w:szCs w:val="22"/>
                    </w:rPr>
                    <w:t xml:space="preserve">писмо </w:t>
                  </w:r>
                  <w:r w:rsidR="009A6DAE" w:rsidRPr="00CD06C7">
                    <w:rPr>
                      <w:b/>
                      <w:bCs/>
                      <w:sz w:val="22"/>
                      <w:szCs w:val="22"/>
                    </w:rPr>
                    <w:t>из</w:t>
                  </w:r>
                  <w:r w:rsidRPr="00CD06C7">
                    <w:rPr>
                      <w:b/>
                      <w:bCs/>
                      <w:sz w:val="22"/>
                      <w:szCs w:val="22"/>
                    </w:rPr>
                    <w:t xml:space="preserve">х. </w:t>
                  </w:r>
                  <w:r w:rsidR="009A6DAE" w:rsidRPr="00CD06C7">
                    <w:rPr>
                      <w:b/>
                      <w:bCs/>
                      <w:sz w:val="22"/>
                      <w:szCs w:val="22"/>
                    </w:rPr>
                    <w:t>04-16-107</w:t>
                  </w:r>
                  <w:r w:rsidRPr="00CD06C7">
                    <w:rPr>
                      <w:b/>
                      <w:bCs/>
                      <w:sz w:val="22"/>
                      <w:szCs w:val="22"/>
                    </w:rPr>
                    <w:t>/</w:t>
                  </w:r>
                  <w:r w:rsidR="009A6DAE" w:rsidRPr="00CD06C7">
                    <w:rPr>
                      <w:b/>
                      <w:bCs/>
                      <w:sz w:val="22"/>
                      <w:szCs w:val="22"/>
                    </w:rPr>
                    <w:t>12</w:t>
                  </w:r>
                  <w:r w:rsidRPr="00CD06C7">
                    <w:rPr>
                      <w:b/>
                      <w:bCs/>
                      <w:sz w:val="22"/>
                      <w:szCs w:val="22"/>
                    </w:rPr>
                    <w:t>.03.2020</w:t>
                  </w:r>
                </w:p>
                <w:p w:rsidR="008070D5" w:rsidRPr="00CD06C7" w:rsidRDefault="009A6DAE" w:rsidP="0094065D">
                  <w:pPr>
                    <w:pStyle w:val="Default"/>
                    <w:numPr>
                      <w:ilvl w:val="0"/>
                      <w:numId w:val="26"/>
                    </w:numPr>
                    <w:ind w:left="147" w:hanging="180"/>
                    <w:jc w:val="both"/>
                    <w:rPr>
                      <w:sz w:val="22"/>
                      <w:szCs w:val="22"/>
                    </w:rPr>
                  </w:pPr>
                  <w:r w:rsidRPr="00CD06C7">
                    <w:rPr>
                      <w:bCs/>
                      <w:sz w:val="22"/>
                      <w:szCs w:val="22"/>
                    </w:rPr>
                    <w:t xml:space="preserve">Докато за дейността по оказване на СМП и въздушния транспорт, свързан с нея, е налице аргументация, то за </w:t>
                  </w:r>
                  <w:r w:rsidR="003F44EE" w:rsidRPr="00CD06C7">
                    <w:rPr>
                      <w:bCs/>
                      <w:sz w:val="22"/>
                      <w:szCs w:val="22"/>
                    </w:rPr>
                    <w:t>транспорта</w:t>
                  </w:r>
                  <w:r w:rsidRPr="00CD06C7">
                    <w:rPr>
                      <w:bCs/>
                      <w:sz w:val="22"/>
                      <w:szCs w:val="22"/>
                    </w:rPr>
                    <w:t xml:space="preserve">, свързан с трансплантациите, липсва такава. Препоръчваме да обосновете липсата за тази дейност или да я премахнете от поясненията. </w:t>
                  </w:r>
                </w:p>
              </w:tc>
            </w:tr>
          </w:tbl>
          <w:p w:rsidR="00F62093" w:rsidRPr="00CD06C7" w:rsidRDefault="00F62093" w:rsidP="0077229E">
            <w:pPr>
              <w:tabs>
                <w:tab w:val="left" w:pos="-108"/>
              </w:tabs>
              <w:ind w:left="34"/>
              <w:rPr>
                <w:sz w:val="22"/>
                <w:szCs w:val="22"/>
                <w:lang w:val="bg-BG" w:bidi="bg-BG"/>
              </w:rPr>
            </w:pPr>
          </w:p>
        </w:tc>
        <w:tc>
          <w:tcPr>
            <w:tcW w:w="7020" w:type="dxa"/>
          </w:tcPr>
          <w:p w:rsidR="00F16C85" w:rsidRPr="00CD06C7" w:rsidRDefault="008070D5" w:rsidP="00D24085">
            <w:pPr>
              <w:spacing w:after="120"/>
              <w:jc w:val="both"/>
              <w:rPr>
                <w:sz w:val="22"/>
                <w:szCs w:val="22"/>
                <w:lang w:val="bg-BG"/>
              </w:rPr>
            </w:pPr>
            <w:r w:rsidRPr="00CD06C7">
              <w:rPr>
                <w:sz w:val="22"/>
                <w:szCs w:val="22"/>
                <w:lang w:val="bg-BG"/>
              </w:rPr>
              <w:t xml:space="preserve">Приема се. </w:t>
            </w:r>
          </w:p>
          <w:p w:rsidR="00A6220E" w:rsidRPr="00CD06C7" w:rsidRDefault="008070D5" w:rsidP="00A6220E">
            <w:pPr>
              <w:spacing w:after="120"/>
              <w:jc w:val="both"/>
              <w:rPr>
                <w:sz w:val="22"/>
                <w:szCs w:val="22"/>
                <w:lang w:val="bg-BG"/>
              </w:rPr>
            </w:pPr>
            <w:r w:rsidRPr="00CD06C7">
              <w:rPr>
                <w:sz w:val="22"/>
                <w:szCs w:val="22"/>
                <w:lang w:val="bg-BG"/>
              </w:rPr>
              <w:t>Добаве</w:t>
            </w:r>
            <w:r w:rsidR="00AF101E" w:rsidRPr="00CD06C7">
              <w:rPr>
                <w:sz w:val="22"/>
                <w:szCs w:val="22"/>
                <w:lang w:val="bg-BG"/>
              </w:rPr>
              <w:t>н</w:t>
            </w:r>
            <w:r w:rsidRPr="00CD06C7">
              <w:rPr>
                <w:sz w:val="22"/>
                <w:szCs w:val="22"/>
                <w:lang w:val="bg-BG"/>
              </w:rPr>
              <w:t xml:space="preserve"> текст:</w:t>
            </w:r>
          </w:p>
          <w:p w:rsidR="000E55A3" w:rsidRPr="001A5669" w:rsidRDefault="000E55A3" w:rsidP="000E55A3">
            <w:pPr>
              <w:shd w:val="clear" w:color="auto" w:fill="FFFFFF"/>
              <w:spacing w:before="120"/>
              <w:jc w:val="both"/>
              <w:rPr>
                <w:sz w:val="22"/>
                <w:lang w:val="bg-BG"/>
              </w:rPr>
            </w:pPr>
            <w:r w:rsidRPr="001A5669">
              <w:rPr>
                <w:sz w:val="22"/>
                <w:lang w:val="bg-BG"/>
              </w:rPr>
              <w:t>Специализираният транспорт е част от услугата по оказване на СМП. Същото важи и за специализирания транспорт в случай на трансплантационни ситуации. С</w:t>
            </w:r>
            <w:r w:rsidRPr="001A5669">
              <w:rPr>
                <w:iCs/>
                <w:sz w:val="22"/>
                <w:szCs w:val="22"/>
                <w:lang w:val="bg-BG" w:bidi="bg-BG"/>
              </w:rPr>
              <w:t>истемата за спешна медицинска помощ изпълнява основни дейности, свързани с осигуряването на процеса на трансплантация на органи, тъкани и клетки, а именно –</w:t>
            </w:r>
            <w:r w:rsidRPr="001A5669">
              <w:rPr>
                <w:b/>
                <w:iCs/>
                <w:sz w:val="22"/>
                <w:szCs w:val="22"/>
                <w:u w:val="single"/>
                <w:lang w:val="bg-BG" w:bidi="bg-BG"/>
              </w:rPr>
              <w:t>дейност по транспорта на донори и органи до</w:t>
            </w:r>
            <w:r w:rsidRPr="001A5669">
              <w:rPr>
                <w:iCs/>
                <w:sz w:val="22"/>
                <w:szCs w:val="22"/>
                <w:lang w:val="bg-BG" w:bidi="bg-BG"/>
              </w:rPr>
              <w:t xml:space="preserve"> лечебните заведения, в които се извършват трансплантации и транспорт на медицински екипи за трансплантация.</w:t>
            </w:r>
            <w:r w:rsidRPr="001A5669">
              <w:rPr>
                <w:lang w:val="bg-BG"/>
              </w:rPr>
              <w:t xml:space="preserve"> (чл. 13, ал. 7 ЗТОТК</w:t>
            </w:r>
            <w:r w:rsidRPr="001A5669">
              <w:rPr>
                <w:rStyle w:val="FootnoteReference"/>
                <w:lang w:val="bg-BG"/>
              </w:rPr>
              <w:footnoteReference w:id="1"/>
            </w:r>
            <w:r w:rsidRPr="001A5669">
              <w:rPr>
                <w:lang w:val="bg-BG"/>
              </w:rPr>
              <w:t>);</w:t>
            </w:r>
            <w:r w:rsidRPr="001A5669">
              <w:rPr>
                <w:iCs/>
                <w:sz w:val="22"/>
                <w:szCs w:val="22"/>
                <w:lang w:val="bg-BG" w:bidi="bg-BG"/>
              </w:rPr>
              <w:t xml:space="preserve"> Използването на въздушен транспорт гарантира по-кратко време за транспортиране на органите, както и високо качество на трансплантационния процес, тъй като ще бъде сведено до минимум т.нар. „исхемично време“ - времето, в което един орган, след като е експлантиран, може да бъде използван за трансплантация (напр. исхемичното време при трансплантация на сърце е максимум 4 часа).</w:t>
            </w:r>
          </w:p>
          <w:p w:rsidR="005052C5" w:rsidRPr="00CD06C7" w:rsidRDefault="005052C5" w:rsidP="008070D5">
            <w:pPr>
              <w:spacing w:after="120"/>
              <w:jc w:val="both"/>
              <w:rPr>
                <w:sz w:val="22"/>
                <w:szCs w:val="22"/>
                <w:lang w:val="bg-BG"/>
              </w:rPr>
            </w:pPr>
          </w:p>
          <w:p w:rsidR="005052C5" w:rsidRPr="00CD06C7" w:rsidRDefault="005052C5" w:rsidP="008070D5">
            <w:pPr>
              <w:spacing w:after="120"/>
              <w:jc w:val="both"/>
              <w:rPr>
                <w:sz w:val="22"/>
                <w:szCs w:val="22"/>
                <w:lang w:val="bg-BG"/>
              </w:rPr>
            </w:pPr>
          </w:p>
        </w:tc>
        <w:tc>
          <w:tcPr>
            <w:tcW w:w="3852" w:type="dxa"/>
          </w:tcPr>
          <w:p w:rsidR="00B6115A" w:rsidRPr="00CD06C7" w:rsidRDefault="005052C5" w:rsidP="005052C5">
            <w:pPr>
              <w:spacing w:after="120"/>
              <w:jc w:val="both"/>
              <w:rPr>
                <w:iCs/>
                <w:sz w:val="22"/>
                <w:szCs w:val="22"/>
                <w:lang w:val="bg-BG" w:bidi="bg-BG"/>
              </w:rPr>
            </w:pPr>
            <w:r w:rsidRPr="00CD06C7">
              <w:rPr>
                <w:iCs/>
                <w:sz w:val="22"/>
                <w:szCs w:val="22"/>
                <w:lang w:val="bg-BG" w:bidi="bg-BG"/>
              </w:rPr>
              <w:t xml:space="preserve">Стр. </w:t>
            </w:r>
            <w:r w:rsidR="00AF101E" w:rsidRPr="00CD06C7">
              <w:rPr>
                <w:iCs/>
                <w:sz w:val="22"/>
                <w:szCs w:val="22"/>
                <w:lang w:val="bg-BG" w:bidi="bg-BG"/>
              </w:rPr>
              <w:t xml:space="preserve">27, </w:t>
            </w:r>
            <w:r w:rsidRPr="00CD06C7">
              <w:rPr>
                <w:iCs/>
                <w:sz w:val="22"/>
                <w:szCs w:val="22"/>
                <w:lang w:val="bg-BG" w:bidi="bg-BG"/>
              </w:rPr>
              <w:t>т. 15 от Насоките за кандидатстване.</w:t>
            </w:r>
          </w:p>
        </w:tc>
      </w:tr>
      <w:tr w:rsidR="00D24085" w:rsidRPr="00CD06C7" w:rsidTr="0094065D">
        <w:trPr>
          <w:trHeight w:val="579"/>
        </w:trPr>
        <w:tc>
          <w:tcPr>
            <w:tcW w:w="4579" w:type="dxa"/>
          </w:tcPr>
          <w:p w:rsidR="005052C5" w:rsidRPr="00CD06C7" w:rsidRDefault="005052C5" w:rsidP="005052C5">
            <w:pPr>
              <w:pStyle w:val="Default"/>
              <w:rPr>
                <w:sz w:val="22"/>
                <w:szCs w:val="22"/>
              </w:rPr>
            </w:pPr>
            <w:r w:rsidRPr="00CD06C7">
              <w:rPr>
                <w:b/>
                <w:bCs/>
                <w:sz w:val="22"/>
                <w:szCs w:val="22"/>
              </w:rPr>
              <w:lastRenderedPageBreak/>
              <w:t xml:space="preserve">Министерство на финансите, </w:t>
            </w:r>
          </w:p>
          <w:p w:rsidR="00221F4C" w:rsidRPr="00CD06C7" w:rsidRDefault="00221F4C" w:rsidP="00221F4C">
            <w:pPr>
              <w:pStyle w:val="Default"/>
              <w:rPr>
                <w:b/>
                <w:bCs/>
                <w:sz w:val="22"/>
                <w:szCs w:val="22"/>
              </w:rPr>
            </w:pPr>
            <w:r w:rsidRPr="00CD06C7">
              <w:rPr>
                <w:b/>
                <w:bCs/>
                <w:sz w:val="22"/>
                <w:szCs w:val="22"/>
              </w:rPr>
              <w:t>писмо изх. 04-16-107/12.03.2020</w:t>
            </w:r>
          </w:p>
          <w:p w:rsidR="00895572" w:rsidRPr="00CD06C7" w:rsidRDefault="00221F4C" w:rsidP="00221F4C">
            <w:pPr>
              <w:numPr>
                <w:ilvl w:val="0"/>
                <w:numId w:val="26"/>
              </w:numPr>
              <w:rPr>
                <w:sz w:val="22"/>
                <w:szCs w:val="22"/>
                <w:lang w:val="bg-BG"/>
              </w:rPr>
            </w:pPr>
            <w:r w:rsidRPr="00CD06C7">
              <w:rPr>
                <w:sz w:val="22"/>
                <w:szCs w:val="22"/>
                <w:lang w:val="bg-BG"/>
              </w:rPr>
              <w:t xml:space="preserve">Според раздел 12 на НК е </w:t>
            </w:r>
            <w:r w:rsidR="003F44EE" w:rsidRPr="00CD06C7">
              <w:rPr>
                <w:sz w:val="22"/>
                <w:szCs w:val="22"/>
                <w:lang w:val="bg-BG"/>
              </w:rPr>
              <w:t>допустимо</w:t>
            </w:r>
            <w:r w:rsidRPr="00CD06C7">
              <w:rPr>
                <w:sz w:val="22"/>
                <w:szCs w:val="22"/>
                <w:lang w:val="bg-BG"/>
              </w:rPr>
              <w:t xml:space="preserve"> участието на </w:t>
            </w:r>
            <w:r w:rsidR="003F44EE" w:rsidRPr="00CD06C7">
              <w:rPr>
                <w:sz w:val="22"/>
                <w:szCs w:val="22"/>
                <w:lang w:val="bg-BG"/>
              </w:rPr>
              <w:t>партньори</w:t>
            </w:r>
            <w:r w:rsidRPr="00CD06C7">
              <w:rPr>
                <w:sz w:val="22"/>
                <w:szCs w:val="22"/>
                <w:lang w:val="bg-BG"/>
              </w:rPr>
              <w:t xml:space="preserve">, като направените от тях разходи се третират по идентичен начин с разходите, направени от бенефициера. Това означава, че партньорите ще получат част от финансирането и за тях също следва да се анализира наличието на помощ, респективно да се допълни раздел 15 от НК. </w:t>
            </w:r>
          </w:p>
          <w:p w:rsidR="00221F4C" w:rsidRPr="00CD06C7" w:rsidRDefault="00221F4C" w:rsidP="00221F4C">
            <w:pPr>
              <w:ind w:left="720"/>
              <w:rPr>
                <w:sz w:val="22"/>
                <w:szCs w:val="22"/>
                <w:lang w:val="bg-BG"/>
              </w:rPr>
            </w:pPr>
            <w:r w:rsidRPr="00CD06C7">
              <w:rPr>
                <w:sz w:val="22"/>
                <w:szCs w:val="22"/>
                <w:lang w:val="bg-BG"/>
              </w:rPr>
              <w:t xml:space="preserve">При условие че дейностите на партньорите се определят като неикономически, свързани с публични задачи и/или съотносими единствено към СМП, УО може да обоснове липсата на държавна помощ и при тях. </w:t>
            </w:r>
          </w:p>
          <w:p w:rsidR="00221F4C" w:rsidRPr="00CD06C7" w:rsidRDefault="00221F4C" w:rsidP="00221F4C">
            <w:pPr>
              <w:ind w:left="720"/>
              <w:rPr>
                <w:sz w:val="22"/>
                <w:szCs w:val="22"/>
                <w:lang w:val="bg-BG"/>
              </w:rPr>
            </w:pPr>
            <w:r w:rsidRPr="00CD06C7">
              <w:rPr>
                <w:sz w:val="22"/>
                <w:szCs w:val="22"/>
                <w:lang w:val="bg-BG"/>
              </w:rPr>
              <w:t xml:space="preserve">В случай че партньорите са икономически активни субекти (предприятия), но както е посочено в процедурата, подпомаганите проектни дейности са неикономически, то предлагаме да обмислите по какъв начин ще се обособят и разделят съответните дейности за партньорите така, че да се гарантира липсата на подпомагане и на икономическата им дейност. </w:t>
            </w:r>
          </w:p>
          <w:p w:rsidR="005052C5" w:rsidRPr="00CD06C7" w:rsidRDefault="005052C5" w:rsidP="002059D9">
            <w:pPr>
              <w:rPr>
                <w:sz w:val="22"/>
                <w:szCs w:val="22"/>
                <w:lang w:val="bg-BG"/>
              </w:rPr>
            </w:pPr>
          </w:p>
        </w:tc>
        <w:tc>
          <w:tcPr>
            <w:tcW w:w="7020" w:type="dxa"/>
          </w:tcPr>
          <w:p w:rsidR="00895572" w:rsidRPr="00CD06C7" w:rsidRDefault="00B65F1F" w:rsidP="00895572">
            <w:pPr>
              <w:spacing w:after="120"/>
              <w:contextualSpacing/>
              <w:jc w:val="both"/>
              <w:rPr>
                <w:sz w:val="22"/>
                <w:szCs w:val="22"/>
                <w:lang w:val="bg-BG"/>
              </w:rPr>
            </w:pPr>
            <w:r w:rsidRPr="00CD06C7">
              <w:rPr>
                <w:sz w:val="22"/>
                <w:szCs w:val="22"/>
                <w:lang w:val="bg-BG"/>
              </w:rPr>
              <w:t>Приема се</w:t>
            </w:r>
          </w:p>
          <w:p w:rsidR="00221F4C" w:rsidRPr="00CD06C7" w:rsidRDefault="00B65F1F" w:rsidP="00221F4C">
            <w:pPr>
              <w:spacing w:after="120"/>
              <w:contextualSpacing/>
              <w:jc w:val="both"/>
              <w:rPr>
                <w:rFonts w:ascii="Arial" w:eastAsia="Times New Roman" w:hAnsi="Arial" w:cs="Arial"/>
                <w:sz w:val="22"/>
                <w:szCs w:val="20"/>
                <w:lang w:val="bg-BG" w:eastAsia="ar-SA"/>
              </w:rPr>
            </w:pPr>
            <w:r w:rsidRPr="00CD06C7">
              <w:rPr>
                <w:sz w:val="22"/>
                <w:szCs w:val="22"/>
                <w:lang w:val="bg-BG"/>
              </w:rPr>
              <w:t>Добавен текст</w:t>
            </w:r>
          </w:p>
          <w:p w:rsidR="000E55A3" w:rsidRPr="001A5669" w:rsidRDefault="000E55A3" w:rsidP="000E55A3">
            <w:pPr>
              <w:shd w:val="clear" w:color="auto" w:fill="FFFFFF"/>
              <w:spacing w:before="120"/>
              <w:jc w:val="both"/>
              <w:rPr>
                <w:lang w:val="bg-BG"/>
              </w:rPr>
            </w:pPr>
            <w:r w:rsidRPr="001A5669">
              <w:rPr>
                <w:sz w:val="22"/>
                <w:lang w:val="bg-BG"/>
              </w:rPr>
              <w:t>Във връзка със специалния режим на експлоатация на медицинските въздушни превозни средства, включително необходимостта от лиценз за въздушен оператор, е възможно да бъде включен партньор по проекта, който ще осигури лиценз за въздушен оператор и персонал за обслужване на придобитите санитарни превозни средства за транспорт по въздух. Не се предвижда дейностите, които ще изпълнява партньорът, да имат икономически характер, тъй като са свързани единствено с осигуряването на транспорт при спешни ситуации и са част от функциите на спешната медицинска помощ, която е изцяло финансирана от бюджета и е общодостъпна.</w:t>
            </w:r>
            <w:r w:rsidR="000133F0">
              <w:rPr>
                <w:sz w:val="22"/>
                <w:lang w:val="en-US"/>
              </w:rPr>
              <w:t xml:space="preserve"> </w:t>
            </w:r>
            <w:r w:rsidRPr="001A5669">
              <w:rPr>
                <w:sz w:val="22"/>
                <w:lang w:val="bg-BG"/>
              </w:rPr>
              <w:t>В случай че партньорът изпълнява и други дейности, които са с икономически характер следва в партньорското споразумение да бъдат описани механизми за разграничаване на икономическите и неикономическите му дейности, включително чрез система за водене на аналитична счетоводна отчетност, чрез която се отделя стопанската от нестопанската дейност на партньора.</w:t>
            </w:r>
            <w:r w:rsidRPr="001A5669">
              <w:rPr>
                <w:lang w:val="bg-BG"/>
              </w:rPr>
              <w:t xml:space="preserve"> </w:t>
            </w:r>
          </w:p>
          <w:p w:rsidR="000E55A3" w:rsidRPr="001A5669" w:rsidRDefault="000E55A3" w:rsidP="000E55A3">
            <w:pPr>
              <w:pStyle w:val="Text1"/>
              <w:pBdr>
                <w:top w:val="double" w:sz="1" w:space="1" w:color="000000"/>
                <w:left w:val="double" w:sz="1" w:space="1" w:color="000000"/>
                <w:bottom w:val="double" w:sz="1" w:space="1" w:color="000000"/>
                <w:right w:val="double" w:sz="1" w:space="1" w:color="000000"/>
              </w:pBdr>
              <w:shd w:val="clear" w:color="auto" w:fill="E6E6E6"/>
              <w:spacing w:after="0"/>
              <w:ind w:left="0"/>
              <w:rPr>
                <w:rFonts w:ascii="Arial" w:hAnsi="Arial" w:cs="Arial"/>
                <w:b/>
                <w:sz w:val="22"/>
                <w:szCs w:val="22"/>
                <w:lang w:val="bg-BG"/>
              </w:rPr>
            </w:pPr>
            <w:r w:rsidRPr="001A5669">
              <w:rPr>
                <w:rFonts w:ascii="Arial" w:hAnsi="Arial" w:cs="Arial"/>
                <w:b/>
                <w:i/>
                <w:sz w:val="22"/>
                <w:szCs w:val="22"/>
                <w:u w:val="single"/>
                <w:lang w:val="bg-BG"/>
              </w:rPr>
              <w:t>ВАЖНО!!!</w:t>
            </w:r>
          </w:p>
          <w:p w:rsidR="000E55A3" w:rsidRPr="001A5669" w:rsidRDefault="000E55A3" w:rsidP="000E55A3">
            <w:pPr>
              <w:pStyle w:val="Text1"/>
              <w:pBdr>
                <w:top w:val="double" w:sz="1" w:space="1" w:color="000000"/>
                <w:left w:val="double" w:sz="1" w:space="1" w:color="000000"/>
                <w:bottom w:val="double" w:sz="1" w:space="1" w:color="000000"/>
                <w:right w:val="double" w:sz="1" w:space="1" w:color="000000"/>
              </w:pBdr>
              <w:shd w:val="clear" w:color="auto" w:fill="E6E6E6"/>
              <w:spacing w:before="120" w:after="0"/>
              <w:ind w:left="0"/>
              <w:rPr>
                <w:rFonts w:ascii="Arial" w:hAnsi="Arial" w:cs="Arial"/>
                <w:b/>
                <w:szCs w:val="24"/>
                <w:lang w:val="bg-BG"/>
              </w:rPr>
            </w:pPr>
            <w:r w:rsidRPr="001A5669">
              <w:rPr>
                <w:rFonts w:ascii="Arial" w:hAnsi="Arial" w:cs="Arial"/>
                <w:b/>
                <w:sz w:val="22"/>
                <w:szCs w:val="22"/>
                <w:lang w:val="bg-BG"/>
              </w:rPr>
              <w:t xml:space="preserve">Помощ за финансиране на нестопанската дейност ще се счита за непопадаща в обхвата на чл. 107 от ДФЕС само ако е налице ясно разделяне на стопанската от нестопанската дейност на кандидата/ партньора. За целта е необходимо те да поддържат аналитична счетоводна отчетност, гарантираща разделяне на активите, пасивите, приходите и разходите, свързани с всяка от двете дейности (икономическа и неикономическа), от което да е видно, че финансирането по настоящата процедура е само за неикономическата дейност на кандидата/партньора/и. Управляващият орган проверява наличието на аналитична счетоводна отчетност по време на изпълнението на проекта при проверки „на място“ и проверки на искания за извършване на междинни и окончателни плащания. </w:t>
            </w:r>
          </w:p>
          <w:p w:rsidR="000E55A3" w:rsidRPr="001A5669" w:rsidRDefault="000E55A3" w:rsidP="000E55A3">
            <w:pPr>
              <w:shd w:val="clear" w:color="auto" w:fill="FFFFFF"/>
              <w:spacing w:before="120"/>
              <w:jc w:val="both"/>
              <w:rPr>
                <w:lang w:val="bg-BG"/>
              </w:rPr>
            </w:pPr>
          </w:p>
          <w:p w:rsidR="004B6C76" w:rsidRPr="00CD06C7" w:rsidRDefault="004B6C76" w:rsidP="00895572">
            <w:pPr>
              <w:spacing w:after="120"/>
              <w:contextualSpacing/>
              <w:jc w:val="both"/>
              <w:rPr>
                <w:sz w:val="22"/>
                <w:szCs w:val="22"/>
                <w:lang w:val="bg-BG"/>
              </w:rPr>
            </w:pPr>
          </w:p>
          <w:p w:rsidR="004B6C76" w:rsidRPr="00CD06C7" w:rsidRDefault="004B6C76" w:rsidP="00895572">
            <w:pPr>
              <w:spacing w:after="120"/>
              <w:contextualSpacing/>
              <w:jc w:val="both"/>
              <w:rPr>
                <w:sz w:val="22"/>
                <w:szCs w:val="22"/>
                <w:lang w:val="bg-BG"/>
              </w:rPr>
            </w:pPr>
          </w:p>
        </w:tc>
        <w:tc>
          <w:tcPr>
            <w:tcW w:w="3852" w:type="dxa"/>
          </w:tcPr>
          <w:p w:rsidR="004B6C76" w:rsidRPr="00CD06C7" w:rsidRDefault="000E55A3" w:rsidP="001A2319">
            <w:pPr>
              <w:tabs>
                <w:tab w:val="left" w:pos="325"/>
              </w:tabs>
              <w:spacing w:after="120"/>
              <w:jc w:val="both"/>
              <w:rPr>
                <w:iCs/>
                <w:sz w:val="22"/>
                <w:szCs w:val="22"/>
                <w:lang w:val="bg-BG" w:bidi="bg-BG"/>
              </w:rPr>
            </w:pPr>
            <w:r w:rsidRPr="00CD06C7">
              <w:rPr>
                <w:iCs/>
                <w:sz w:val="22"/>
                <w:szCs w:val="22"/>
                <w:lang w:val="bg-BG" w:bidi="bg-BG"/>
              </w:rPr>
              <w:t>Стр. 27, т. 15 от Насоките за кандидатстване.</w:t>
            </w:r>
          </w:p>
        </w:tc>
      </w:tr>
      <w:tr w:rsidR="001F6B9E" w:rsidRPr="00CD06C7" w:rsidTr="0094065D">
        <w:trPr>
          <w:trHeight w:val="579"/>
        </w:trPr>
        <w:tc>
          <w:tcPr>
            <w:tcW w:w="4579" w:type="dxa"/>
          </w:tcPr>
          <w:p w:rsidR="001F6B9E" w:rsidRPr="00CD06C7" w:rsidRDefault="001F6B9E" w:rsidP="001F6B9E">
            <w:pPr>
              <w:pStyle w:val="Default"/>
              <w:rPr>
                <w:sz w:val="22"/>
                <w:szCs w:val="22"/>
              </w:rPr>
            </w:pPr>
            <w:r w:rsidRPr="00CD06C7">
              <w:rPr>
                <w:b/>
                <w:bCs/>
                <w:sz w:val="22"/>
                <w:szCs w:val="22"/>
              </w:rPr>
              <w:lastRenderedPageBreak/>
              <w:t xml:space="preserve">Министерство на финансите, </w:t>
            </w:r>
          </w:p>
          <w:p w:rsidR="001F6B9E" w:rsidRPr="00CD06C7" w:rsidRDefault="001F6B9E" w:rsidP="001F6B9E">
            <w:pPr>
              <w:pStyle w:val="Default"/>
              <w:rPr>
                <w:b/>
                <w:bCs/>
                <w:sz w:val="22"/>
                <w:szCs w:val="22"/>
              </w:rPr>
            </w:pPr>
            <w:r w:rsidRPr="00CD06C7">
              <w:rPr>
                <w:b/>
                <w:bCs/>
                <w:sz w:val="22"/>
                <w:szCs w:val="22"/>
              </w:rPr>
              <w:t>писмо изх. 04-16-107/12.03.2020</w:t>
            </w:r>
          </w:p>
          <w:p w:rsidR="001F6B9E" w:rsidRPr="00CD06C7" w:rsidRDefault="001F6B9E" w:rsidP="003F44EE">
            <w:pPr>
              <w:pStyle w:val="Default"/>
              <w:numPr>
                <w:ilvl w:val="0"/>
                <w:numId w:val="26"/>
              </w:numPr>
              <w:rPr>
                <w:sz w:val="22"/>
                <w:szCs w:val="22"/>
              </w:rPr>
            </w:pPr>
            <w:r w:rsidRPr="00CD06C7">
              <w:rPr>
                <w:sz w:val="22"/>
                <w:szCs w:val="22"/>
              </w:rPr>
              <w:t>По отношение на допустимата дейност за лицензиране/сертифициране на хеликоптерни площадки и друга съпътстваща инфраструктура, необходима за</w:t>
            </w:r>
            <w:r w:rsidR="003F44EE">
              <w:rPr>
                <w:sz w:val="22"/>
                <w:szCs w:val="22"/>
              </w:rPr>
              <w:t xml:space="preserve"> </w:t>
            </w:r>
            <w:r w:rsidRPr="00CD06C7">
              <w:rPr>
                <w:sz w:val="22"/>
                <w:szCs w:val="22"/>
              </w:rPr>
              <w:t xml:space="preserve">осигуряване експлоатацията на медицински хеликоптер, според нас, следва да се допълни аргументацията за липса на помощ. Мотивите ни за това са, че разходите за лицензиране и сертифициране на площадки/инфраструктура не са единствено обвързани със СМП. Посочените обекти могат да се ползват и за други дейности, включително икономически, извън СМП (например медицински транспорт при неспешни състояния срещу заплащане). Поради това считаме, че за площадките и инфраструктурата липсата на помощ следва да се обоснове допълнително от УО на всички нива – собственик, оператор и потребител, най-малко при съобразяване с раздел 7 от Известието на Комисията относно понятието за държавна помощ, посочено в член 107, параграф 1 от Договора за функционирането на Европейския съюз. </w:t>
            </w:r>
          </w:p>
        </w:tc>
        <w:tc>
          <w:tcPr>
            <w:tcW w:w="7020" w:type="dxa"/>
          </w:tcPr>
          <w:p w:rsidR="001F6B9E" w:rsidRDefault="000E55A3" w:rsidP="00895572">
            <w:pPr>
              <w:spacing w:after="120"/>
              <w:contextualSpacing/>
              <w:jc w:val="both"/>
              <w:rPr>
                <w:sz w:val="22"/>
                <w:szCs w:val="22"/>
                <w:lang w:val="bg-BG"/>
              </w:rPr>
            </w:pPr>
            <w:r>
              <w:rPr>
                <w:sz w:val="22"/>
                <w:szCs w:val="22"/>
                <w:lang w:val="bg-BG"/>
              </w:rPr>
              <w:t>Приема се.</w:t>
            </w:r>
          </w:p>
          <w:p w:rsidR="000E55A3" w:rsidRDefault="000E55A3" w:rsidP="00895572">
            <w:pPr>
              <w:spacing w:after="120"/>
              <w:contextualSpacing/>
              <w:jc w:val="both"/>
              <w:rPr>
                <w:sz w:val="22"/>
                <w:szCs w:val="22"/>
                <w:lang w:val="bg-BG"/>
              </w:rPr>
            </w:pPr>
            <w:r>
              <w:rPr>
                <w:sz w:val="22"/>
                <w:szCs w:val="22"/>
                <w:lang w:val="bg-BG"/>
              </w:rPr>
              <w:t>Добавен текст:</w:t>
            </w:r>
          </w:p>
          <w:p w:rsidR="000E55A3" w:rsidRPr="001A5669" w:rsidRDefault="000E55A3" w:rsidP="000E55A3">
            <w:pPr>
              <w:shd w:val="clear" w:color="auto" w:fill="FFFFFF"/>
              <w:spacing w:before="120"/>
              <w:jc w:val="both"/>
              <w:rPr>
                <w:sz w:val="22"/>
                <w:lang w:val="bg-BG" w:eastAsia="en-GB"/>
              </w:rPr>
            </w:pPr>
            <w:r w:rsidRPr="001A5669">
              <w:rPr>
                <w:sz w:val="22"/>
                <w:lang w:val="bg-BG"/>
              </w:rPr>
              <w:t>По отношение на хеликоптерните площадки в лечебните заведения и друга съпътстваща инфраструктура следва да се има предвид, че в случай че същата се финансира в рамките на проекта за целите на СМП, то тя ще се използва приоритетно за нуждите на осигуряване на спешна медицинска помощ, поради което не е предназначена за осъществяване на дейности с икономически характер</w:t>
            </w:r>
            <w:r w:rsidRPr="001A5669">
              <w:rPr>
                <w:sz w:val="22"/>
                <w:lang w:val="bg-BG" w:eastAsia="en-GB"/>
              </w:rPr>
              <w:t>.</w:t>
            </w:r>
            <w:r w:rsidR="000133F0">
              <w:rPr>
                <w:sz w:val="22"/>
                <w:lang w:val="en-US" w:eastAsia="en-GB"/>
              </w:rPr>
              <w:t xml:space="preserve"> </w:t>
            </w:r>
            <w:r w:rsidRPr="001A5669">
              <w:rPr>
                <w:sz w:val="22"/>
                <w:lang w:val="bg-BG" w:eastAsia="en-GB"/>
              </w:rPr>
              <w:t xml:space="preserve">Основно изискване е собствеността на съпътстващата инфраструктура да бъде държавна и/или общинска собственост и/или собственост на лечебно заведение с над 50 % държавно и/или общинско участие в капитала, </w:t>
            </w:r>
            <w:r w:rsidRPr="001A5669">
              <w:rPr>
                <w:b/>
                <w:sz w:val="22"/>
                <w:lang w:val="bg-BG" w:eastAsia="en-GB"/>
              </w:rPr>
              <w:t>с предоставено право на безвъзмездно ползване, управление или учредено право на строеж или пристрояване в полза на Министерството на здравеопазването.</w:t>
            </w:r>
          </w:p>
          <w:p w:rsidR="000E55A3" w:rsidRPr="001A5669" w:rsidRDefault="000E55A3" w:rsidP="000E55A3">
            <w:pPr>
              <w:shd w:val="clear" w:color="auto" w:fill="FFFFFF"/>
              <w:spacing w:before="120"/>
              <w:jc w:val="both"/>
              <w:rPr>
                <w:sz w:val="22"/>
                <w:lang w:val="bg-BG" w:eastAsia="en-GB"/>
              </w:rPr>
            </w:pPr>
            <w:r w:rsidRPr="001A5669">
              <w:rPr>
                <w:sz w:val="22"/>
                <w:lang w:val="bg-BG" w:eastAsia="en-GB"/>
              </w:rPr>
              <w:t>След изпълнение на дейностите по проекта съпътстващата инфраструктура</w:t>
            </w:r>
            <w:r w:rsidR="000133F0">
              <w:rPr>
                <w:sz w:val="22"/>
                <w:lang w:val="en-US" w:eastAsia="en-GB"/>
              </w:rPr>
              <w:t xml:space="preserve"> </w:t>
            </w:r>
            <w:r w:rsidRPr="001A5669">
              <w:rPr>
                <w:sz w:val="22"/>
                <w:lang w:val="bg-BG" w:eastAsia="en-GB"/>
              </w:rPr>
              <w:t>ще се използва приоритетно и почти изцяло за нуждите на спешната медицинска помощ, като не се предвижда промяна в нестопанския й характер. Доколкото съпътстващата инфраструктура се намира на територията на лечебните заведения, които извън предоставянето на спешната медицинска помощ изпълняват и други дейности, включително икономически, и тези лечебни заведения биха могли да използват инфраструктурата за други цели извън СМП, следва да се има предвид следното:</w:t>
            </w:r>
          </w:p>
          <w:p w:rsidR="000E55A3" w:rsidRPr="001A5669" w:rsidRDefault="000E55A3" w:rsidP="000E55A3">
            <w:pPr>
              <w:shd w:val="clear" w:color="auto" w:fill="FFFFFF"/>
              <w:spacing w:before="120"/>
              <w:jc w:val="both"/>
              <w:rPr>
                <w:sz w:val="22"/>
                <w:lang w:val="bg-BG" w:eastAsia="en-GB"/>
              </w:rPr>
            </w:pPr>
            <w:r w:rsidRPr="001A5669">
              <w:rPr>
                <w:sz w:val="22"/>
                <w:lang w:val="bg-BG" w:eastAsia="en-GB"/>
              </w:rPr>
              <w:t>Съгласно т. 207 от Известието в случай на смесено ползване на инфраструктурата, „нейното финансиране може да попадне изцяло извън правилата за държавните помощи, при условие че стопанското използване остава само спомагателно, т.е. дейност, която е пряко свързана и необходима за експлоатацията на инфраструктурата или неразривно свързана с нейната основна нестопанска употреба. Следва да се приеме, че това е така, когато стопанските дейности използват същите производствени фактори като първичните нестопански дейности, например материали, оборудване, труд или дълготрайни активи. Обхватът на спомагателните стопански дейности трябва да остава ограничен спрямо капацитета на инфраструктурата</w:t>
            </w:r>
            <w:r w:rsidRPr="001A5669">
              <w:rPr>
                <w:rStyle w:val="FootnoteReference"/>
                <w:sz w:val="22"/>
                <w:lang w:val="bg-BG" w:eastAsia="en-GB"/>
              </w:rPr>
              <w:footnoteReference w:id="2"/>
            </w:r>
            <w:r w:rsidRPr="001A5669">
              <w:rPr>
                <w:sz w:val="22"/>
                <w:lang w:val="bg-BG" w:eastAsia="en-GB"/>
              </w:rPr>
              <w:t xml:space="preserve">. Евентуална </w:t>
            </w:r>
            <w:r w:rsidRPr="001A5669">
              <w:rPr>
                <w:sz w:val="22"/>
                <w:lang w:val="bg-BG" w:eastAsia="en-GB"/>
              </w:rPr>
              <w:lastRenderedPageBreak/>
              <w:t>възможност</w:t>
            </w:r>
            <w:r w:rsidR="000133F0">
              <w:rPr>
                <w:sz w:val="22"/>
                <w:lang w:val="en-US" w:eastAsia="en-GB"/>
              </w:rPr>
              <w:t xml:space="preserve"> </w:t>
            </w:r>
            <w:r w:rsidRPr="001A5669">
              <w:rPr>
                <w:sz w:val="22"/>
                <w:lang w:val="bg-BG" w:eastAsia="en-GB"/>
              </w:rPr>
              <w:t>финансирана по проекта инфраструктура да се използва за транспорт при неспешни медицински състояния и срещу заплащане не променя нестопанския характер на дейността, ако заема ограничена част от капацитета</w:t>
            </w:r>
            <w:r w:rsidR="000133F0">
              <w:rPr>
                <w:sz w:val="22"/>
                <w:lang w:val="en-US" w:eastAsia="en-GB"/>
              </w:rPr>
              <w:t xml:space="preserve"> </w:t>
            </w:r>
            <w:r w:rsidRPr="001A5669">
              <w:rPr>
                <w:sz w:val="22"/>
                <w:lang w:val="bg-BG" w:eastAsia="en-GB"/>
              </w:rPr>
              <w:t>на инфраструктурата. В този случай</w:t>
            </w:r>
            <w:r w:rsidR="000133F0">
              <w:rPr>
                <w:sz w:val="22"/>
                <w:lang w:val="en-US" w:eastAsia="en-GB"/>
              </w:rPr>
              <w:t xml:space="preserve"> </w:t>
            </w:r>
            <w:r w:rsidRPr="001A5669">
              <w:rPr>
                <w:sz w:val="22"/>
                <w:lang w:val="bg-BG" w:eastAsia="en-GB"/>
              </w:rPr>
              <w:t xml:space="preserve">финансирането им не би нарушило правилата в областта на държавните помощи, при условие, че не повече от 20 % от съответния общ годишен (времеви) капацитет на инфраструктурата се използва по стопански начин. </w:t>
            </w:r>
            <w:r w:rsidRPr="001A5669">
              <w:rPr>
                <w:b/>
                <w:sz w:val="22"/>
                <w:lang w:val="bg-BG" w:eastAsia="en-GB"/>
              </w:rPr>
              <w:t>Важно! Бенефициентът, като получател на финансирането, е отговорен за контрола по спазването на изискванията за съответствие с държавни помощи и в случай на промяна на нестопанския характер на съпътстващата инфраструктурата следва да приложи подходящ контролен механизъм за спазване на изискването.</w:t>
            </w:r>
            <w:r w:rsidRPr="001A5669">
              <w:rPr>
                <w:sz w:val="22"/>
                <w:lang w:val="bg-BG" w:eastAsia="en-GB"/>
              </w:rPr>
              <w:t xml:space="preserve"> </w:t>
            </w:r>
          </w:p>
          <w:p w:rsidR="000E55A3" w:rsidRPr="001A5669" w:rsidRDefault="000E55A3" w:rsidP="000E55A3">
            <w:pPr>
              <w:shd w:val="clear" w:color="auto" w:fill="FFFFFF"/>
              <w:spacing w:before="120"/>
              <w:jc w:val="both"/>
              <w:rPr>
                <w:sz w:val="22"/>
                <w:lang w:val="bg-BG" w:eastAsia="en-GB"/>
              </w:rPr>
            </w:pPr>
            <w:r w:rsidRPr="001A5669">
              <w:rPr>
                <w:sz w:val="22"/>
                <w:lang w:val="bg-BG" w:eastAsia="en-GB"/>
              </w:rPr>
              <w:t xml:space="preserve">В допълнение, финансирането на съпътстваща инфраструктура за експлоатацията на </w:t>
            </w:r>
            <w:r w:rsidRPr="001A5669">
              <w:rPr>
                <w:sz w:val="22"/>
                <w:lang w:val="bg-BG"/>
              </w:rPr>
              <w:t>санитарните превозни средства за транспорт по въздух</w:t>
            </w:r>
            <w:r w:rsidRPr="001A5669">
              <w:rPr>
                <w:sz w:val="22"/>
                <w:lang w:val="bg-BG" w:eastAsia="en-GB"/>
              </w:rPr>
              <w:t xml:space="preserve"> има за цел да се постигне съответствие със стандартите на Европейския съюз за медицинското оборудване и авиационна безопасност и е свързано единствено с осигуряване на адекватни експлоатационни условия за опериране на медицинските хеликоптери. На този етап в България няма налични санитарни превозни средства за транспорт по въздух, които да извършват дейности по осигуряване на транспорт при спешни състояния. </w:t>
            </w:r>
          </w:p>
          <w:p w:rsidR="000E55A3" w:rsidRPr="000E55A3" w:rsidRDefault="000E55A3" w:rsidP="00895572">
            <w:pPr>
              <w:spacing w:after="120"/>
              <w:contextualSpacing/>
              <w:jc w:val="both"/>
              <w:rPr>
                <w:sz w:val="22"/>
                <w:szCs w:val="22"/>
                <w:lang w:val="bg-BG"/>
              </w:rPr>
            </w:pPr>
          </w:p>
        </w:tc>
        <w:tc>
          <w:tcPr>
            <w:tcW w:w="3852" w:type="dxa"/>
          </w:tcPr>
          <w:p w:rsidR="001F6B9E" w:rsidRPr="00CD06C7" w:rsidRDefault="000E55A3" w:rsidP="009F29A8">
            <w:pPr>
              <w:tabs>
                <w:tab w:val="left" w:pos="325"/>
              </w:tabs>
              <w:spacing w:after="120"/>
              <w:jc w:val="both"/>
              <w:rPr>
                <w:iCs/>
                <w:sz w:val="22"/>
                <w:szCs w:val="22"/>
                <w:lang w:val="bg-BG" w:bidi="bg-BG"/>
              </w:rPr>
            </w:pPr>
            <w:r w:rsidRPr="00CD06C7">
              <w:rPr>
                <w:iCs/>
                <w:sz w:val="22"/>
                <w:szCs w:val="22"/>
                <w:lang w:val="bg-BG" w:bidi="bg-BG"/>
              </w:rPr>
              <w:lastRenderedPageBreak/>
              <w:t xml:space="preserve">Стр. </w:t>
            </w:r>
            <w:r>
              <w:rPr>
                <w:iCs/>
                <w:sz w:val="22"/>
                <w:szCs w:val="22"/>
                <w:lang w:val="bg-BG" w:bidi="bg-BG"/>
              </w:rPr>
              <w:t>28</w:t>
            </w:r>
            <w:r w:rsidRPr="00CD06C7">
              <w:rPr>
                <w:iCs/>
                <w:sz w:val="22"/>
                <w:szCs w:val="22"/>
                <w:lang w:val="bg-BG" w:bidi="bg-BG"/>
              </w:rPr>
              <w:t>, т. 15 от Насоките за кандидатстване.</w:t>
            </w:r>
          </w:p>
        </w:tc>
      </w:tr>
      <w:tr w:rsidR="00DD3CD1" w:rsidRPr="00CD06C7" w:rsidTr="0094065D">
        <w:trPr>
          <w:trHeight w:val="579"/>
        </w:trPr>
        <w:tc>
          <w:tcPr>
            <w:tcW w:w="4579" w:type="dxa"/>
          </w:tcPr>
          <w:p w:rsidR="00DD3CD1" w:rsidRPr="00CD06C7" w:rsidRDefault="00DD3CD1" w:rsidP="00DD3CD1">
            <w:pPr>
              <w:pStyle w:val="Default"/>
              <w:rPr>
                <w:sz w:val="22"/>
                <w:szCs w:val="22"/>
              </w:rPr>
            </w:pPr>
            <w:r w:rsidRPr="00CD06C7">
              <w:rPr>
                <w:b/>
                <w:bCs/>
                <w:sz w:val="22"/>
                <w:szCs w:val="22"/>
              </w:rPr>
              <w:t xml:space="preserve">Министерство на финансите, </w:t>
            </w:r>
          </w:p>
          <w:p w:rsidR="00DD3CD1" w:rsidRPr="00CD06C7" w:rsidRDefault="00DD3CD1" w:rsidP="00DD3CD1">
            <w:pPr>
              <w:pStyle w:val="Default"/>
              <w:rPr>
                <w:b/>
                <w:bCs/>
                <w:sz w:val="22"/>
                <w:szCs w:val="22"/>
              </w:rPr>
            </w:pPr>
            <w:r w:rsidRPr="00CD06C7">
              <w:rPr>
                <w:b/>
                <w:bCs/>
                <w:sz w:val="22"/>
                <w:szCs w:val="22"/>
              </w:rPr>
              <w:t>писмо изх. 04-16-107/12.03.2020</w:t>
            </w:r>
          </w:p>
          <w:p w:rsidR="00DD3CD1" w:rsidRPr="00CD06C7" w:rsidRDefault="006F775F" w:rsidP="006F775F">
            <w:pPr>
              <w:pStyle w:val="Default"/>
              <w:numPr>
                <w:ilvl w:val="0"/>
                <w:numId w:val="26"/>
              </w:numPr>
              <w:rPr>
                <w:b/>
                <w:bCs/>
                <w:sz w:val="22"/>
                <w:szCs w:val="22"/>
              </w:rPr>
            </w:pPr>
            <w:r w:rsidRPr="00CD06C7">
              <w:rPr>
                <w:sz w:val="22"/>
                <w:szCs w:val="22"/>
              </w:rPr>
              <w:t xml:space="preserve">В раздел 13.2 от НК се посочва, че бенефициерът има право да сключва договори с изпълнители за осъществяването на дейности по проекта. Разработени са два варианта за изпълнението на дейностите по проекта: Вариант 1 с изцяло външно възлагане на дейностите по организация и управление на проекта на външен за бенефициера изпълнител и Вариант 2, при който </w:t>
            </w:r>
            <w:r w:rsidRPr="00CD06C7">
              <w:rPr>
                <w:sz w:val="22"/>
                <w:szCs w:val="22"/>
              </w:rPr>
              <w:lastRenderedPageBreak/>
              <w:t xml:space="preserve">бенефициерът изпълнява дейности по организация и управление на проекта, като не извършва изцяло възлагане на същите. </w:t>
            </w:r>
          </w:p>
          <w:p w:rsidR="00BD085A" w:rsidRPr="00CD06C7" w:rsidRDefault="006F775F" w:rsidP="006F775F">
            <w:pPr>
              <w:pStyle w:val="Default"/>
              <w:ind w:left="720"/>
              <w:rPr>
                <w:sz w:val="22"/>
                <w:szCs w:val="22"/>
              </w:rPr>
            </w:pPr>
            <w:r w:rsidRPr="00CD06C7">
              <w:rPr>
                <w:sz w:val="22"/>
                <w:szCs w:val="22"/>
              </w:rPr>
              <w:t>Обръщаме внимание, че фактът че една дейност може да се реализира</w:t>
            </w:r>
            <w:r w:rsidR="00BD085A" w:rsidRPr="00CD06C7">
              <w:rPr>
                <w:sz w:val="22"/>
                <w:szCs w:val="22"/>
              </w:rPr>
              <w:t xml:space="preserve"> чрез възлагане на друг изпълнител означава, че по същество тя е икономическа. Това противоречи на посоченото в раздел 15 и не е коректно указано в НК по процедурата. В тази връзка и за конкретната дейност, следва да се определи режим на подпомагането за икономическата дейност или да се разработи така, че елементът на помощ да се елиминира. </w:t>
            </w:r>
          </w:p>
          <w:p w:rsidR="00BD085A" w:rsidRPr="00CD06C7" w:rsidRDefault="00BD085A" w:rsidP="006F775F">
            <w:pPr>
              <w:pStyle w:val="Default"/>
              <w:ind w:left="720"/>
              <w:rPr>
                <w:sz w:val="22"/>
                <w:szCs w:val="22"/>
              </w:rPr>
            </w:pPr>
            <w:r w:rsidRPr="00CD06C7">
              <w:rPr>
                <w:sz w:val="22"/>
                <w:szCs w:val="22"/>
              </w:rPr>
              <w:t xml:space="preserve">При вариант 1 помощ не би била налице ако възлагането на всички икономически дейности е чрез открити, прозрачни, недискриминационни и безусловни тръжни процедури поправилата в Известието. </w:t>
            </w:r>
          </w:p>
          <w:p w:rsidR="00BD085A" w:rsidRPr="00CD06C7" w:rsidRDefault="00BD085A" w:rsidP="006F775F">
            <w:pPr>
              <w:pStyle w:val="Default"/>
              <w:ind w:left="720"/>
              <w:rPr>
                <w:sz w:val="22"/>
                <w:szCs w:val="22"/>
              </w:rPr>
            </w:pPr>
            <w:r w:rsidRPr="00CD06C7">
              <w:rPr>
                <w:sz w:val="22"/>
                <w:szCs w:val="22"/>
              </w:rPr>
              <w:t xml:space="preserve">При Вариант 2 (частично възлагане) за дейностите, които няма да се възлагат на външен </w:t>
            </w:r>
            <w:r w:rsidR="003F44EE" w:rsidRPr="00CD06C7">
              <w:rPr>
                <w:sz w:val="22"/>
                <w:szCs w:val="22"/>
              </w:rPr>
              <w:t>изпълнител</w:t>
            </w:r>
            <w:r w:rsidRPr="00CD06C7">
              <w:rPr>
                <w:sz w:val="22"/>
                <w:szCs w:val="22"/>
              </w:rPr>
              <w:t>, предлагаме да обмислите и обосновете липсата на помощ при условие, че те могат да се обвържат пряко с публичните функции на МЗ по отношение на СМП.</w:t>
            </w:r>
          </w:p>
          <w:p w:rsidR="006F775F" w:rsidRPr="00CD06C7" w:rsidRDefault="00BD085A" w:rsidP="00BD085A">
            <w:pPr>
              <w:pStyle w:val="Default"/>
              <w:ind w:left="720"/>
              <w:rPr>
                <w:sz w:val="22"/>
                <w:szCs w:val="22"/>
              </w:rPr>
            </w:pPr>
            <w:r w:rsidRPr="00CD06C7">
              <w:rPr>
                <w:sz w:val="22"/>
                <w:szCs w:val="22"/>
              </w:rPr>
              <w:t xml:space="preserve">Според нас, за дейностите, несвързани с публичните функции на бенефициера, е необходимо или да има възлагане по правилата на обществените поръчки, или УО да </w:t>
            </w:r>
            <w:r w:rsidRPr="00CD06C7">
              <w:rPr>
                <w:sz w:val="22"/>
                <w:szCs w:val="22"/>
              </w:rPr>
              <w:lastRenderedPageBreak/>
              <w:t>разработи друг приложим режим от гл. т.</w:t>
            </w:r>
            <w:r w:rsidR="003F44EE">
              <w:rPr>
                <w:sz w:val="22"/>
                <w:szCs w:val="22"/>
              </w:rPr>
              <w:t xml:space="preserve"> </w:t>
            </w:r>
            <w:bookmarkStart w:id="0" w:name="_GoBack"/>
            <w:bookmarkEnd w:id="0"/>
            <w:r w:rsidRPr="00CD06C7">
              <w:rPr>
                <w:sz w:val="22"/>
                <w:szCs w:val="22"/>
              </w:rPr>
              <w:t xml:space="preserve">на държавните помощи. Отчитайки максималния размер на финансирането по процедурата 19 999 990,96 лв. и заложеното от УО условие при Вариант 2 разходите за организация и управление да са 1% от стойността на общите преки допустими разходи, финансирани с БФП по проекта, можете да обмислите приложимостта на правилата за минималните помощи по Регламент (ЕС) 1407/2013. </w:t>
            </w:r>
          </w:p>
        </w:tc>
        <w:tc>
          <w:tcPr>
            <w:tcW w:w="7020" w:type="dxa"/>
          </w:tcPr>
          <w:p w:rsidR="00DD3CD1" w:rsidRDefault="000E55A3" w:rsidP="00895572">
            <w:pPr>
              <w:spacing w:after="120"/>
              <w:contextualSpacing/>
              <w:jc w:val="both"/>
              <w:rPr>
                <w:sz w:val="22"/>
                <w:szCs w:val="22"/>
                <w:lang w:val="bg-BG"/>
              </w:rPr>
            </w:pPr>
            <w:r>
              <w:rPr>
                <w:sz w:val="22"/>
                <w:szCs w:val="22"/>
                <w:lang w:val="bg-BG"/>
              </w:rPr>
              <w:lastRenderedPageBreak/>
              <w:t>Добавен е текст</w:t>
            </w:r>
            <w:r w:rsidR="00CF5259">
              <w:rPr>
                <w:sz w:val="22"/>
                <w:szCs w:val="22"/>
                <w:lang w:val="bg-BG"/>
              </w:rPr>
              <w:t>:</w:t>
            </w:r>
          </w:p>
          <w:p w:rsidR="00CF5259" w:rsidRPr="00770113" w:rsidRDefault="00CF5259" w:rsidP="00CF5259">
            <w:pPr>
              <w:spacing w:before="240" w:after="60"/>
              <w:jc w:val="both"/>
              <w:rPr>
                <w:sz w:val="22"/>
                <w:lang w:val="bg-BG"/>
              </w:rPr>
            </w:pPr>
            <w:r w:rsidRPr="001A5669">
              <w:rPr>
                <w:sz w:val="22"/>
                <w:lang w:val="bg-BG" w:eastAsia="en-GB"/>
              </w:rPr>
              <w:t>По отношение на изпълнението на дейностите за организация и управление на проекта</w:t>
            </w:r>
            <w:r>
              <w:rPr>
                <w:sz w:val="22"/>
                <w:lang w:val="bg-BG" w:eastAsia="en-GB"/>
              </w:rPr>
              <w:t xml:space="preserve"> по настоящата процедура</w:t>
            </w:r>
            <w:r w:rsidRPr="001A5669">
              <w:rPr>
                <w:sz w:val="22"/>
                <w:lang w:val="bg-BG" w:eastAsia="en-GB"/>
              </w:rPr>
              <w:t>, които МЗ е възможно  изцяло или частично да  възложи на външен изпълнител, следва да се има предвид че</w:t>
            </w:r>
            <w:r>
              <w:rPr>
                <w:sz w:val="22"/>
                <w:lang w:val="bg-BG" w:eastAsia="en-GB"/>
              </w:rPr>
              <w:t>,</w:t>
            </w:r>
            <w:r w:rsidRPr="001A5669">
              <w:rPr>
                <w:sz w:val="22"/>
                <w:lang w:val="bg-BG" w:eastAsia="en-GB"/>
              </w:rPr>
              <w:t xml:space="preserve"> изпълнител/изпълнители ще бъде определен по реда на Закона за обществените поръчки, чрез провеждането открита, прозрачна, достатъчно добре разгласена, недискриминационна и безусловна тръжна процедура. По този начин на ниво изпълнител на дейностите за организация и управление на проекта ще се избегне предоставянето на предимство на предприятие по смисъла на законодателството в областта на държавните помощи. </w:t>
            </w:r>
            <w:r>
              <w:rPr>
                <w:sz w:val="22"/>
                <w:lang w:val="bg-BG" w:eastAsia="en-GB"/>
              </w:rPr>
              <w:t xml:space="preserve">При условие че МЗ изпълнява част от дейностите по организация и управление на проекта, свързан с осигуряване на  </w:t>
            </w:r>
            <w:r w:rsidRPr="00770113">
              <w:rPr>
                <w:sz w:val="22"/>
                <w:lang w:val="bg-BG" w:eastAsia="en-GB"/>
              </w:rPr>
              <w:t xml:space="preserve">съвременни санитарни превозни </w:t>
            </w:r>
            <w:r w:rsidRPr="00770113">
              <w:rPr>
                <w:sz w:val="22"/>
                <w:lang w:val="bg-BG" w:eastAsia="en-GB"/>
              </w:rPr>
              <w:lastRenderedPageBreak/>
              <w:t>средства за транспорт по въздух</w:t>
            </w:r>
            <w:r>
              <w:rPr>
                <w:sz w:val="22"/>
                <w:lang w:val="bg-BG" w:eastAsia="en-GB"/>
              </w:rPr>
              <w:t xml:space="preserve"> за СМП, то същите</w:t>
            </w:r>
            <w:r>
              <w:rPr>
                <w:sz w:val="22"/>
                <w:lang w:val="bg-BG"/>
              </w:rPr>
              <w:t xml:space="preserve"> са пряко обвързани с изпълнението на  </w:t>
            </w:r>
            <w:r w:rsidRPr="00770113">
              <w:rPr>
                <w:sz w:val="22"/>
                <w:lang w:val="bg-BG"/>
              </w:rPr>
              <w:t>публичните функции на МЗ по отношение на СМП.</w:t>
            </w:r>
          </w:p>
          <w:p w:rsidR="00CF5259" w:rsidRPr="00CD06C7" w:rsidRDefault="00CF5259" w:rsidP="00895572">
            <w:pPr>
              <w:spacing w:after="120"/>
              <w:contextualSpacing/>
              <w:jc w:val="both"/>
              <w:rPr>
                <w:sz w:val="22"/>
                <w:szCs w:val="22"/>
                <w:lang w:val="bg-BG"/>
              </w:rPr>
            </w:pPr>
          </w:p>
          <w:p w:rsidR="00BD085A" w:rsidRPr="00CD06C7" w:rsidRDefault="00BD085A" w:rsidP="00895572">
            <w:pPr>
              <w:spacing w:after="120"/>
              <w:contextualSpacing/>
              <w:jc w:val="both"/>
              <w:rPr>
                <w:sz w:val="22"/>
                <w:szCs w:val="22"/>
                <w:lang w:val="bg-BG"/>
              </w:rPr>
            </w:pPr>
          </w:p>
          <w:p w:rsidR="00815D32" w:rsidRPr="00CD06C7" w:rsidRDefault="00815D32" w:rsidP="000E55A3">
            <w:pPr>
              <w:spacing w:after="120"/>
              <w:contextualSpacing/>
              <w:jc w:val="both"/>
              <w:rPr>
                <w:sz w:val="22"/>
                <w:szCs w:val="22"/>
                <w:lang w:val="bg-BG"/>
              </w:rPr>
            </w:pPr>
          </w:p>
        </w:tc>
        <w:tc>
          <w:tcPr>
            <w:tcW w:w="3852" w:type="dxa"/>
          </w:tcPr>
          <w:p w:rsidR="00DD3CD1" w:rsidRPr="00CD06C7" w:rsidRDefault="00CF5259" w:rsidP="00CF5259">
            <w:pPr>
              <w:tabs>
                <w:tab w:val="left" w:pos="325"/>
              </w:tabs>
              <w:spacing w:after="120"/>
              <w:jc w:val="both"/>
              <w:rPr>
                <w:iCs/>
                <w:sz w:val="22"/>
                <w:szCs w:val="22"/>
                <w:lang w:val="bg-BG" w:bidi="bg-BG"/>
              </w:rPr>
            </w:pPr>
            <w:r w:rsidRPr="00CD06C7">
              <w:rPr>
                <w:iCs/>
                <w:sz w:val="22"/>
                <w:szCs w:val="22"/>
                <w:lang w:val="bg-BG" w:bidi="bg-BG"/>
              </w:rPr>
              <w:lastRenderedPageBreak/>
              <w:t xml:space="preserve">Стр. </w:t>
            </w:r>
            <w:r>
              <w:rPr>
                <w:iCs/>
                <w:sz w:val="22"/>
                <w:szCs w:val="22"/>
                <w:lang w:val="bg-BG" w:bidi="bg-BG"/>
              </w:rPr>
              <w:t>2</w:t>
            </w:r>
            <w:r w:rsidR="001964D6">
              <w:rPr>
                <w:iCs/>
                <w:sz w:val="22"/>
                <w:szCs w:val="22"/>
                <w:lang w:val="bg-BG" w:bidi="bg-BG"/>
              </w:rPr>
              <w:t>9</w:t>
            </w:r>
            <w:r w:rsidRPr="00CD06C7">
              <w:rPr>
                <w:iCs/>
                <w:sz w:val="22"/>
                <w:szCs w:val="22"/>
                <w:lang w:val="bg-BG" w:bidi="bg-BG"/>
              </w:rPr>
              <w:t>, т. 15 от Насоките за кандидатстване.</w:t>
            </w:r>
          </w:p>
        </w:tc>
      </w:tr>
      <w:tr w:rsidR="00BD085A" w:rsidRPr="00CD06C7" w:rsidTr="0094065D">
        <w:trPr>
          <w:trHeight w:val="579"/>
        </w:trPr>
        <w:tc>
          <w:tcPr>
            <w:tcW w:w="4579" w:type="dxa"/>
          </w:tcPr>
          <w:p w:rsidR="007449ED" w:rsidRPr="006179EE" w:rsidRDefault="007449ED" w:rsidP="007449ED">
            <w:pPr>
              <w:pStyle w:val="Default"/>
              <w:rPr>
                <w:b/>
                <w:bCs/>
                <w:sz w:val="22"/>
                <w:szCs w:val="22"/>
              </w:rPr>
            </w:pPr>
            <w:r w:rsidRPr="006179EE">
              <w:rPr>
                <w:b/>
                <w:bCs/>
                <w:sz w:val="22"/>
                <w:szCs w:val="22"/>
              </w:rPr>
              <w:lastRenderedPageBreak/>
              <w:t xml:space="preserve">Министерство на здравеопазването, </w:t>
            </w:r>
          </w:p>
          <w:p w:rsidR="00BD085A" w:rsidRPr="006179EE" w:rsidRDefault="007449ED" w:rsidP="00DD3CD1">
            <w:pPr>
              <w:pStyle w:val="Default"/>
              <w:rPr>
                <w:b/>
                <w:bCs/>
                <w:sz w:val="22"/>
                <w:szCs w:val="22"/>
              </w:rPr>
            </w:pPr>
            <w:r w:rsidRPr="006179EE">
              <w:rPr>
                <w:b/>
                <w:bCs/>
                <w:sz w:val="22"/>
                <w:szCs w:val="22"/>
              </w:rPr>
              <w:t xml:space="preserve">писмо изх. </w:t>
            </w:r>
            <w:r w:rsidR="006179EE" w:rsidRPr="006179EE">
              <w:rPr>
                <w:b/>
                <w:bCs/>
                <w:sz w:val="22"/>
                <w:szCs w:val="22"/>
              </w:rPr>
              <w:t xml:space="preserve">04-15-43/16.03.2020 </w:t>
            </w:r>
            <w:r w:rsidR="006179EE">
              <w:rPr>
                <w:b/>
                <w:bCs/>
                <w:sz w:val="22"/>
                <w:szCs w:val="22"/>
              </w:rPr>
              <w:t>г</w:t>
            </w:r>
            <w:r w:rsidR="006179EE" w:rsidRPr="006179EE">
              <w:rPr>
                <w:b/>
                <w:bCs/>
                <w:sz w:val="22"/>
                <w:szCs w:val="22"/>
              </w:rPr>
              <w:t>.</w:t>
            </w:r>
          </w:p>
          <w:p w:rsidR="007449ED" w:rsidRPr="00CD06C7" w:rsidRDefault="007449ED" w:rsidP="00DD3CD1">
            <w:pPr>
              <w:pStyle w:val="Default"/>
              <w:rPr>
                <w:b/>
                <w:bCs/>
                <w:sz w:val="22"/>
                <w:szCs w:val="22"/>
              </w:rPr>
            </w:pPr>
          </w:p>
          <w:p w:rsidR="007449ED" w:rsidRPr="00CD06C7" w:rsidRDefault="007449ED" w:rsidP="007449ED">
            <w:pPr>
              <w:pStyle w:val="Default"/>
              <w:rPr>
                <w:sz w:val="22"/>
                <w:szCs w:val="22"/>
              </w:rPr>
            </w:pPr>
            <w:r w:rsidRPr="00CD06C7">
              <w:rPr>
                <w:sz w:val="22"/>
                <w:szCs w:val="22"/>
              </w:rPr>
              <w:t xml:space="preserve">В т.5 Териториален обхват от Насоките за кандидатстване по процедура BG16RFOP001-4.002 „Регионална здравна инфраструктура-2”, следва да отпадне следния текст: </w:t>
            </w:r>
          </w:p>
          <w:p w:rsidR="007449ED" w:rsidRPr="00CD06C7" w:rsidRDefault="007449ED" w:rsidP="007449ED">
            <w:pPr>
              <w:pStyle w:val="Default"/>
              <w:rPr>
                <w:sz w:val="22"/>
                <w:szCs w:val="22"/>
              </w:rPr>
            </w:pPr>
            <w:r w:rsidRPr="00CD06C7">
              <w:rPr>
                <w:sz w:val="22"/>
                <w:szCs w:val="22"/>
              </w:rPr>
              <w:t xml:space="preserve">„По отношение на съпътстваща инфраструктура за осигуряване на въздушния транспорт дейностите могат да се осъществяват в населените места, на територията на които са разположени обектите за предоставяне на спешна медицинска помощ в съответствие със структурата на системата за спешна медицинска помощ в Република България. Местоположението на съпътстващата инфраструктура (хеликоптерните площадки) ще бъде определено окончателно след като бъде изготвен анализ от Министерство на здравеопазването относно наличието на съпътстваща сертифицирана инфраструктура, която да осигурява работата на </w:t>
            </w:r>
            <w:r w:rsidRPr="00CD06C7">
              <w:rPr>
                <w:sz w:val="22"/>
                <w:szCs w:val="22"/>
                <w:lang w:bidi="bg-BG"/>
              </w:rPr>
              <w:t xml:space="preserve">санитарните превозни средства за транспорт по въздуха </w:t>
            </w:r>
            <w:r w:rsidRPr="00CD06C7">
              <w:rPr>
                <w:sz w:val="22"/>
                <w:szCs w:val="22"/>
                <w:lang w:bidi="bg-BG"/>
              </w:rPr>
              <w:lastRenderedPageBreak/>
              <w:t>(</w:t>
            </w:r>
            <w:r w:rsidRPr="00CD06C7">
              <w:rPr>
                <w:sz w:val="22"/>
                <w:szCs w:val="22"/>
              </w:rPr>
              <w:t>медицинския хеликоптер) ”.</w:t>
            </w:r>
          </w:p>
          <w:p w:rsidR="007449ED" w:rsidRPr="00CD06C7" w:rsidRDefault="007449ED" w:rsidP="00DD3CD1">
            <w:pPr>
              <w:pStyle w:val="Default"/>
              <w:rPr>
                <w:b/>
                <w:bCs/>
                <w:sz w:val="22"/>
                <w:szCs w:val="22"/>
              </w:rPr>
            </w:pPr>
          </w:p>
        </w:tc>
        <w:tc>
          <w:tcPr>
            <w:tcW w:w="7020" w:type="dxa"/>
          </w:tcPr>
          <w:p w:rsidR="00BD085A" w:rsidRPr="00CD06C7" w:rsidRDefault="007449ED" w:rsidP="00895572">
            <w:pPr>
              <w:spacing w:after="120"/>
              <w:contextualSpacing/>
              <w:jc w:val="both"/>
              <w:rPr>
                <w:sz w:val="22"/>
                <w:szCs w:val="22"/>
                <w:lang w:val="bg-BG"/>
              </w:rPr>
            </w:pPr>
            <w:r w:rsidRPr="00CD06C7">
              <w:rPr>
                <w:sz w:val="22"/>
                <w:szCs w:val="22"/>
                <w:lang w:val="bg-BG"/>
              </w:rPr>
              <w:lastRenderedPageBreak/>
              <w:t>Приема се</w:t>
            </w:r>
          </w:p>
          <w:p w:rsidR="007449ED" w:rsidRPr="00CD06C7" w:rsidRDefault="007449ED" w:rsidP="00895572">
            <w:pPr>
              <w:spacing w:after="120"/>
              <w:contextualSpacing/>
              <w:jc w:val="both"/>
              <w:rPr>
                <w:sz w:val="22"/>
                <w:szCs w:val="22"/>
                <w:lang w:val="bg-BG"/>
              </w:rPr>
            </w:pPr>
          </w:p>
          <w:p w:rsidR="007449ED" w:rsidRPr="00CD06C7" w:rsidRDefault="000133F0" w:rsidP="00895572">
            <w:pPr>
              <w:spacing w:after="120"/>
              <w:contextualSpacing/>
              <w:jc w:val="both"/>
              <w:rPr>
                <w:sz w:val="22"/>
                <w:szCs w:val="22"/>
                <w:lang w:val="bg-BG"/>
              </w:rPr>
            </w:pPr>
            <w:r w:rsidRPr="00CD06C7">
              <w:rPr>
                <w:sz w:val="22"/>
                <w:szCs w:val="22"/>
                <w:lang w:val="bg-BG"/>
              </w:rPr>
              <w:t>Текстът</w:t>
            </w:r>
            <w:r w:rsidR="007449ED" w:rsidRPr="00CD06C7">
              <w:rPr>
                <w:sz w:val="22"/>
                <w:szCs w:val="22"/>
                <w:lang w:val="bg-BG"/>
              </w:rPr>
              <w:t xml:space="preserve"> в т. 5 от Насоките за </w:t>
            </w:r>
            <w:r w:rsidRPr="00CD06C7">
              <w:rPr>
                <w:sz w:val="22"/>
                <w:szCs w:val="22"/>
                <w:lang w:val="bg-BG"/>
              </w:rPr>
              <w:t>кандидатстване</w:t>
            </w:r>
            <w:r w:rsidR="007449ED" w:rsidRPr="00CD06C7">
              <w:rPr>
                <w:sz w:val="22"/>
                <w:szCs w:val="22"/>
                <w:lang w:val="bg-BG"/>
              </w:rPr>
              <w:t xml:space="preserve"> е изтрит.</w:t>
            </w:r>
          </w:p>
        </w:tc>
        <w:tc>
          <w:tcPr>
            <w:tcW w:w="3852" w:type="dxa"/>
          </w:tcPr>
          <w:p w:rsidR="00BD085A" w:rsidRPr="00CD06C7" w:rsidRDefault="00BD085A" w:rsidP="009F29A8">
            <w:pPr>
              <w:tabs>
                <w:tab w:val="left" w:pos="325"/>
              </w:tabs>
              <w:spacing w:after="120"/>
              <w:jc w:val="both"/>
              <w:rPr>
                <w:iCs/>
                <w:sz w:val="22"/>
                <w:szCs w:val="22"/>
                <w:lang w:val="bg-BG" w:bidi="bg-BG"/>
              </w:rPr>
            </w:pPr>
          </w:p>
        </w:tc>
      </w:tr>
      <w:tr w:rsidR="00CD06C7" w:rsidRPr="00CD06C7" w:rsidTr="0094065D">
        <w:trPr>
          <w:trHeight w:val="579"/>
        </w:trPr>
        <w:tc>
          <w:tcPr>
            <w:tcW w:w="4579" w:type="dxa"/>
          </w:tcPr>
          <w:p w:rsidR="00CD06C7" w:rsidRPr="006179EE" w:rsidRDefault="00CD06C7" w:rsidP="00CD06C7">
            <w:pPr>
              <w:pStyle w:val="Default"/>
              <w:rPr>
                <w:b/>
                <w:bCs/>
                <w:sz w:val="22"/>
                <w:szCs w:val="22"/>
              </w:rPr>
            </w:pPr>
            <w:r w:rsidRPr="006179EE">
              <w:rPr>
                <w:b/>
                <w:bCs/>
                <w:sz w:val="22"/>
                <w:szCs w:val="22"/>
              </w:rPr>
              <w:t xml:space="preserve">Министерство на здравеопазването, </w:t>
            </w:r>
          </w:p>
          <w:p w:rsidR="006179EE" w:rsidRPr="006179EE" w:rsidRDefault="00CD06C7" w:rsidP="006179EE">
            <w:pPr>
              <w:pStyle w:val="Default"/>
              <w:rPr>
                <w:b/>
                <w:bCs/>
                <w:sz w:val="22"/>
                <w:szCs w:val="22"/>
              </w:rPr>
            </w:pPr>
            <w:r w:rsidRPr="006179EE">
              <w:rPr>
                <w:b/>
                <w:bCs/>
                <w:sz w:val="22"/>
                <w:szCs w:val="22"/>
              </w:rPr>
              <w:t xml:space="preserve">писмо </w:t>
            </w:r>
            <w:r w:rsidR="006179EE" w:rsidRPr="006179EE">
              <w:rPr>
                <w:b/>
                <w:bCs/>
                <w:sz w:val="22"/>
                <w:szCs w:val="22"/>
              </w:rPr>
              <w:t>изх. 04-15-43/16.03.2020 г.</w:t>
            </w:r>
          </w:p>
          <w:p w:rsidR="00CD06C7" w:rsidRPr="00CD06C7" w:rsidRDefault="00CD06C7" w:rsidP="007449ED">
            <w:pPr>
              <w:pStyle w:val="Default"/>
              <w:rPr>
                <w:b/>
                <w:bCs/>
                <w:sz w:val="22"/>
                <w:szCs w:val="22"/>
              </w:rPr>
            </w:pPr>
          </w:p>
          <w:p w:rsidR="00CD06C7" w:rsidRPr="00CD06C7" w:rsidRDefault="00CD06C7" w:rsidP="00CD06C7">
            <w:pPr>
              <w:pStyle w:val="Default"/>
              <w:rPr>
                <w:sz w:val="22"/>
                <w:szCs w:val="22"/>
              </w:rPr>
            </w:pPr>
            <w:r w:rsidRPr="00CD06C7">
              <w:rPr>
                <w:sz w:val="22"/>
                <w:szCs w:val="22"/>
              </w:rPr>
              <w:t>Предвид предстоящото закупуване на санитарните превозни</w:t>
            </w:r>
            <w:r w:rsidRPr="00CD06C7">
              <w:rPr>
                <w:sz w:val="22"/>
                <w:szCs w:val="22"/>
              </w:rPr>
              <w:br/>
              <w:t>средства за транспорт по въздуха (медицинския хеликоптер), моля за Вашата</w:t>
            </w:r>
            <w:r w:rsidRPr="00CD06C7">
              <w:rPr>
                <w:sz w:val="22"/>
                <w:szCs w:val="22"/>
              </w:rPr>
              <w:br/>
              <w:t>позиция, допустимо ли е производството им да е от страна извън Европейския</w:t>
            </w:r>
            <w:r w:rsidRPr="00CD06C7">
              <w:rPr>
                <w:sz w:val="22"/>
                <w:szCs w:val="22"/>
              </w:rPr>
              <w:br/>
              <w:t>съюз.</w:t>
            </w:r>
          </w:p>
        </w:tc>
        <w:tc>
          <w:tcPr>
            <w:tcW w:w="7020" w:type="dxa"/>
          </w:tcPr>
          <w:p w:rsidR="00CD06C7" w:rsidRPr="00CD06C7" w:rsidRDefault="00CD06C7" w:rsidP="00895572">
            <w:pPr>
              <w:spacing w:after="120"/>
              <w:contextualSpacing/>
              <w:jc w:val="both"/>
              <w:rPr>
                <w:sz w:val="22"/>
                <w:szCs w:val="22"/>
                <w:lang w:val="bg-BG"/>
              </w:rPr>
            </w:pPr>
            <w:r w:rsidRPr="00CD06C7">
              <w:rPr>
                <w:sz w:val="22"/>
                <w:szCs w:val="22"/>
                <w:lang w:val="bg-BG"/>
              </w:rPr>
              <w:t>Отговор:</w:t>
            </w:r>
          </w:p>
          <w:p w:rsidR="00CD06C7" w:rsidRDefault="00CD06C7" w:rsidP="005878B0">
            <w:pPr>
              <w:spacing w:after="120"/>
              <w:contextualSpacing/>
              <w:jc w:val="both"/>
              <w:rPr>
                <w:sz w:val="22"/>
                <w:szCs w:val="22"/>
                <w:lang w:val="bg-BG"/>
              </w:rPr>
            </w:pPr>
            <w:r w:rsidRPr="00CD06C7">
              <w:rPr>
                <w:sz w:val="22"/>
                <w:szCs w:val="22"/>
                <w:lang w:val="bg-BG"/>
              </w:rPr>
              <w:t xml:space="preserve">При </w:t>
            </w:r>
            <w:r w:rsidR="005878B0">
              <w:rPr>
                <w:sz w:val="22"/>
                <w:szCs w:val="22"/>
                <w:lang w:val="bg-BG"/>
              </w:rPr>
              <w:t>закупуването</w:t>
            </w:r>
            <w:r w:rsidRPr="00CD06C7">
              <w:rPr>
                <w:sz w:val="22"/>
                <w:szCs w:val="22"/>
                <w:lang w:val="bg-BG"/>
              </w:rPr>
              <w:t xml:space="preserve"> на хеликоптерите следва бъде </w:t>
            </w:r>
            <w:r w:rsidR="005878B0">
              <w:rPr>
                <w:sz w:val="22"/>
                <w:szCs w:val="22"/>
                <w:lang w:val="bg-BG"/>
              </w:rPr>
              <w:t>спазено</w:t>
            </w:r>
            <w:r w:rsidRPr="00CD06C7">
              <w:rPr>
                <w:sz w:val="22"/>
                <w:szCs w:val="22"/>
                <w:lang w:val="bg-BG"/>
              </w:rPr>
              <w:t xml:space="preserve"> приложимото законодателство на ЕС и на </w:t>
            </w:r>
            <w:r>
              <w:rPr>
                <w:sz w:val="22"/>
                <w:szCs w:val="22"/>
                <w:lang w:val="bg-BG"/>
              </w:rPr>
              <w:t xml:space="preserve">Република </w:t>
            </w:r>
            <w:r w:rsidRPr="00CD06C7">
              <w:rPr>
                <w:sz w:val="22"/>
                <w:szCs w:val="22"/>
                <w:lang w:val="bg-BG"/>
              </w:rPr>
              <w:t>България като</w:t>
            </w:r>
            <w:r>
              <w:rPr>
                <w:sz w:val="22"/>
                <w:szCs w:val="22"/>
                <w:lang w:val="bg-BG"/>
              </w:rPr>
              <w:t xml:space="preserve"> </w:t>
            </w:r>
            <w:r w:rsidRPr="00CD06C7">
              <w:rPr>
                <w:sz w:val="22"/>
                <w:szCs w:val="22"/>
                <w:lang w:val="bg-BG"/>
              </w:rPr>
              <w:t xml:space="preserve">бъдат издадени съответните удостоверение за летателната годност на въздухоплавателно средство, </w:t>
            </w:r>
            <w:r w:rsidR="005878B0">
              <w:rPr>
                <w:sz w:val="22"/>
                <w:szCs w:val="22"/>
                <w:lang w:val="bg-BG"/>
              </w:rPr>
              <w:t xml:space="preserve">че същото </w:t>
            </w:r>
            <w:r w:rsidRPr="00CD06C7">
              <w:rPr>
                <w:sz w:val="22"/>
                <w:szCs w:val="22"/>
                <w:lang w:val="bg-BG"/>
              </w:rPr>
              <w:t>отговаря на съответните норми и притежава типов сертификат или друг еквивалентен документ.</w:t>
            </w:r>
          </w:p>
          <w:p w:rsidR="005878B0" w:rsidRPr="005878B0" w:rsidRDefault="005878B0" w:rsidP="005878B0">
            <w:pPr>
              <w:spacing w:after="120"/>
              <w:contextualSpacing/>
              <w:jc w:val="both"/>
              <w:rPr>
                <w:sz w:val="22"/>
                <w:szCs w:val="22"/>
                <w:lang w:val="en-US"/>
              </w:rPr>
            </w:pPr>
          </w:p>
        </w:tc>
        <w:tc>
          <w:tcPr>
            <w:tcW w:w="3852" w:type="dxa"/>
          </w:tcPr>
          <w:p w:rsidR="00CD06C7" w:rsidRPr="00CD06C7" w:rsidRDefault="00CD06C7" w:rsidP="009F29A8">
            <w:pPr>
              <w:tabs>
                <w:tab w:val="left" w:pos="325"/>
              </w:tabs>
              <w:spacing w:after="120"/>
              <w:jc w:val="both"/>
              <w:rPr>
                <w:iCs/>
                <w:sz w:val="22"/>
                <w:szCs w:val="22"/>
                <w:lang w:val="bg-BG" w:bidi="bg-BG"/>
              </w:rPr>
            </w:pPr>
          </w:p>
        </w:tc>
      </w:tr>
    </w:tbl>
    <w:p w:rsidR="00BC29FE" w:rsidRPr="00CD06C7" w:rsidRDefault="00BC29FE" w:rsidP="0023244F">
      <w:pPr>
        <w:spacing w:line="360" w:lineRule="auto"/>
        <w:ind w:left="-709"/>
        <w:rPr>
          <w:lang w:val="bg-BG"/>
        </w:rPr>
      </w:pPr>
    </w:p>
    <w:sectPr w:rsidR="00BC29FE" w:rsidRPr="00CD06C7" w:rsidSect="00140BEE">
      <w:headerReference w:type="default" r:id="rId11"/>
      <w:footerReference w:type="even" r:id="rId12"/>
      <w:footerReference w:type="default" r:id="rId13"/>
      <w:pgSz w:w="16838" w:h="11906" w:orient="landscape"/>
      <w:pgMar w:top="851" w:right="110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A1A" w:rsidRDefault="00D55A1A">
      <w:r>
        <w:separator/>
      </w:r>
    </w:p>
  </w:endnote>
  <w:endnote w:type="continuationSeparator" w:id="0">
    <w:p w:rsidR="00D55A1A" w:rsidRDefault="00D5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ll Times New Roman">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C4" w:rsidRDefault="00557DF1" w:rsidP="00346418">
    <w:pPr>
      <w:pStyle w:val="Footer"/>
      <w:framePr w:wrap="around" w:vAnchor="text" w:hAnchor="margin" w:xAlign="right" w:y="1"/>
      <w:rPr>
        <w:rStyle w:val="PageNumber"/>
      </w:rPr>
    </w:pPr>
    <w:r>
      <w:rPr>
        <w:rStyle w:val="PageNumber"/>
      </w:rPr>
      <w:fldChar w:fldCharType="begin"/>
    </w:r>
    <w:r w:rsidR="000700C4">
      <w:rPr>
        <w:rStyle w:val="PageNumber"/>
      </w:rPr>
      <w:instrText xml:space="preserve">PAGE  </w:instrText>
    </w:r>
    <w:r>
      <w:rPr>
        <w:rStyle w:val="PageNumber"/>
      </w:rPr>
      <w:fldChar w:fldCharType="end"/>
    </w:r>
  </w:p>
  <w:p w:rsidR="000700C4" w:rsidRDefault="000700C4" w:rsidP="003464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C4" w:rsidRPr="005B0E97" w:rsidRDefault="00557DF1" w:rsidP="00346418">
    <w:pPr>
      <w:pStyle w:val="Footer"/>
      <w:framePr w:wrap="around" w:vAnchor="text" w:hAnchor="margin" w:xAlign="right" w:y="1"/>
      <w:rPr>
        <w:rStyle w:val="PageNumber"/>
        <w:sz w:val="20"/>
        <w:szCs w:val="20"/>
      </w:rPr>
    </w:pPr>
    <w:r w:rsidRPr="005B0E97">
      <w:rPr>
        <w:rStyle w:val="PageNumber"/>
        <w:sz w:val="20"/>
        <w:szCs w:val="20"/>
      </w:rPr>
      <w:fldChar w:fldCharType="begin"/>
    </w:r>
    <w:r w:rsidR="000700C4" w:rsidRPr="005B0E97">
      <w:rPr>
        <w:rStyle w:val="PageNumber"/>
        <w:sz w:val="20"/>
        <w:szCs w:val="20"/>
      </w:rPr>
      <w:instrText xml:space="preserve">PAGE  </w:instrText>
    </w:r>
    <w:r w:rsidRPr="005B0E97">
      <w:rPr>
        <w:rStyle w:val="PageNumber"/>
        <w:sz w:val="20"/>
        <w:szCs w:val="20"/>
      </w:rPr>
      <w:fldChar w:fldCharType="separate"/>
    </w:r>
    <w:r w:rsidR="003F44EE">
      <w:rPr>
        <w:rStyle w:val="PageNumber"/>
        <w:noProof/>
        <w:sz w:val="20"/>
        <w:szCs w:val="20"/>
      </w:rPr>
      <w:t>6</w:t>
    </w:r>
    <w:r w:rsidRPr="005B0E97">
      <w:rPr>
        <w:rStyle w:val="PageNumber"/>
        <w:sz w:val="20"/>
        <w:szCs w:val="20"/>
      </w:rPr>
      <w:fldChar w:fldCharType="end"/>
    </w:r>
  </w:p>
  <w:p w:rsidR="000700C4" w:rsidRDefault="000700C4" w:rsidP="003464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A1A" w:rsidRDefault="00D55A1A">
      <w:r>
        <w:separator/>
      </w:r>
    </w:p>
  </w:footnote>
  <w:footnote w:type="continuationSeparator" w:id="0">
    <w:p w:rsidR="00D55A1A" w:rsidRDefault="00D55A1A">
      <w:r>
        <w:continuationSeparator/>
      </w:r>
    </w:p>
  </w:footnote>
  <w:footnote w:id="1">
    <w:p w:rsidR="000E55A3" w:rsidRPr="00BD6012" w:rsidRDefault="000E55A3" w:rsidP="000E55A3">
      <w:pPr>
        <w:pStyle w:val="FootnoteText"/>
        <w:rPr>
          <w:lang w:val="bg-BG"/>
        </w:rPr>
      </w:pPr>
      <w:r>
        <w:rPr>
          <w:rStyle w:val="FootnoteReference"/>
        </w:rPr>
        <w:footnoteRef/>
      </w:r>
      <w:r>
        <w:t xml:space="preserve"> </w:t>
      </w:r>
      <w:r>
        <w:rPr>
          <w:lang w:val="bg-BG"/>
        </w:rPr>
        <w:t>з</w:t>
      </w:r>
      <w:r>
        <w:rPr>
          <w:rFonts w:ascii="Verdana" w:hAnsi="Verdana"/>
          <w:b/>
          <w:bCs/>
          <w:color w:val="000000"/>
          <w:sz w:val="12"/>
          <w:szCs w:val="12"/>
          <w:shd w:val="clear" w:color="auto" w:fill="FEFEFE"/>
        </w:rPr>
        <w:t>акон за трансплантация на органи, тъкани и клетки</w:t>
      </w:r>
    </w:p>
  </w:footnote>
  <w:footnote w:id="2">
    <w:p w:rsidR="000E55A3" w:rsidRPr="007216E9" w:rsidRDefault="000E55A3" w:rsidP="000E55A3">
      <w:pPr>
        <w:pStyle w:val="FootnoteText"/>
        <w:rPr>
          <w:lang w:val="bg-BG"/>
        </w:rPr>
      </w:pPr>
      <w:r>
        <w:rPr>
          <w:rStyle w:val="FootnoteReference"/>
        </w:rPr>
        <w:footnoteRef/>
      </w:r>
      <w:r w:rsidRPr="007216E9">
        <w:t>Използването на инфраструктурата за стопански цели може да се счита за спомагателно, когато заделяният всяка година капацитет за тази дейност не надхвърля 20 процента от общия годишен капацитет на инфраструктурата.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C4" w:rsidRPr="008F477E" w:rsidRDefault="000700C4" w:rsidP="00346418">
    <w:pPr>
      <w:pStyle w:val="Header"/>
      <w:jc w:val="center"/>
      <w:rPr>
        <w:b/>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28B5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B585E"/>
    <w:multiLevelType w:val="multilevel"/>
    <w:tmpl w:val="A9186F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67E49"/>
    <w:multiLevelType w:val="hybridMultilevel"/>
    <w:tmpl w:val="FFAAE6EC"/>
    <w:lvl w:ilvl="0" w:tplc="37A41416">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C0F56C4"/>
    <w:multiLevelType w:val="multilevel"/>
    <w:tmpl w:val="040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401C39"/>
    <w:multiLevelType w:val="hybridMultilevel"/>
    <w:tmpl w:val="871A6570"/>
    <w:lvl w:ilvl="0" w:tplc="ABD8FC7A">
      <w:start w:val="1"/>
      <w:numFmt w:val="decimal"/>
      <w:lvlText w:val="%1."/>
      <w:lvlJc w:val="left"/>
      <w:pPr>
        <w:ind w:left="394" w:hanging="360"/>
      </w:pPr>
      <w:rPr>
        <w:rFonts w:hint="default"/>
      </w:rPr>
    </w:lvl>
    <w:lvl w:ilvl="1" w:tplc="04020019" w:tentative="1">
      <w:start w:val="1"/>
      <w:numFmt w:val="lowerLetter"/>
      <w:lvlText w:val="%2."/>
      <w:lvlJc w:val="left"/>
      <w:pPr>
        <w:ind w:left="1114" w:hanging="360"/>
      </w:pPr>
    </w:lvl>
    <w:lvl w:ilvl="2" w:tplc="0402001B" w:tentative="1">
      <w:start w:val="1"/>
      <w:numFmt w:val="lowerRoman"/>
      <w:lvlText w:val="%3."/>
      <w:lvlJc w:val="right"/>
      <w:pPr>
        <w:ind w:left="1834" w:hanging="180"/>
      </w:pPr>
    </w:lvl>
    <w:lvl w:ilvl="3" w:tplc="0402000F" w:tentative="1">
      <w:start w:val="1"/>
      <w:numFmt w:val="decimal"/>
      <w:lvlText w:val="%4."/>
      <w:lvlJc w:val="left"/>
      <w:pPr>
        <w:ind w:left="2554" w:hanging="360"/>
      </w:pPr>
    </w:lvl>
    <w:lvl w:ilvl="4" w:tplc="04020019" w:tentative="1">
      <w:start w:val="1"/>
      <w:numFmt w:val="lowerLetter"/>
      <w:lvlText w:val="%5."/>
      <w:lvlJc w:val="left"/>
      <w:pPr>
        <w:ind w:left="3274" w:hanging="360"/>
      </w:pPr>
    </w:lvl>
    <w:lvl w:ilvl="5" w:tplc="0402001B" w:tentative="1">
      <w:start w:val="1"/>
      <w:numFmt w:val="lowerRoman"/>
      <w:lvlText w:val="%6."/>
      <w:lvlJc w:val="right"/>
      <w:pPr>
        <w:ind w:left="3994" w:hanging="180"/>
      </w:pPr>
    </w:lvl>
    <w:lvl w:ilvl="6" w:tplc="0402000F" w:tentative="1">
      <w:start w:val="1"/>
      <w:numFmt w:val="decimal"/>
      <w:lvlText w:val="%7."/>
      <w:lvlJc w:val="left"/>
      <w:pPr>
        <w:ind w:left="4714" w:hanging="360"/>
      </w:pPr>
    </w:lvl>
    <w:lvl w:ilvl="7" w:tplc="04020019" w:tentative="1">
      <w:start w:val="1"/>
      <w:numFmt w:val="lowerLetter"/>
      <w:lvlText w:val="%8."/>
      <w:lvlJc w:val="left"/>
      <w:pPr>
        <w:ind w:left="5434" w:hanging="360"/>
      </w:pPr>
    </w:lvl>
    <w:lvl w:ilvl="8" w:tplc="0402001B" w:tentative="1">
      <w:start w:val="1"/>
      <w:numFmt w:val="lowerRoman"/>
      <w:lvlText w:val="%9."/>
      <w:lvlJc w:val="right"/>
      <w:pPr>
        <w:ind w:left="6154" w:hanging="180"/>
      </w:pPr>
    </w:lvl>
  </w:abstractNum>
  <w:abstractNum w:abstractNumId="5" w15:restartNumberingAfterBreak="0">
    <w:nsid w:val="0C862C70"/>
    <w:multiLevelType w:val="hybridMultilevel"/>
    <w:tmpl w:val="D1B499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064D5E"/>
    <w:multiLevelType w:val="hybridMultilevel"/>
    <w:tmpl w:val="61BE1FF8"/>
    <w:lvl w:ilvl="0" w:tplc="7C309AC4">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7" w15:restartNumberingAfterBreak="0">
    <w:nsid w:val="1DF743D5"/>
    <w:multiLevelType w:val="hybridMultilevel"/>
    <w:tmpl w:val="0AD4A7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0860F1"/>
    <w:multiLevelType w:val="hybridMultilevel"/>
    <w:tmpl w:val="5BE6FE76"/>
    <w:lvl w:ilvl="0" w:tplc="64B4C99E">
      <w:start w:val="1"/>
      <w:numFmt w:val="decimal"/>
      <w:lvlText w:val="%1."/>
      <w:lvlJc w:val="left"/>
      <w:pPr>
        <w:ind w:left="394" w:hanging="360"/>
      </w:pPr>
      <w:rPr>
        <w:rFonts w:hint="default"/>
      </w:rPr>
    </w:lvl>
    <w:lvl w:ilvl="1" w:tplc="04020019" w:tentative="1">
      <w:start w:val="1"/>
      <w:numFmt w:val="lowerLetter"/>
      <w:lvlText w:val="%2."/>
      <w:lvlJc w:val="left"/>
      <w:pPr>
        <w:ind w:left="1114" w:hanging="360"/>
      </w:pPr>
    </w:lvl>
    <w:lvl w:ilvl="2" w:tplc="0402001B" w:tentative="1">
      <w:start w:val="1"/>
      <w:numFmt w:val="lowerRoman"/>
      <w:lvlText w:val="%3."/>
      <w:lvlJc w:val="right"/>
      <w:pPr>
        <w:ind w:left="1834" w:hanging="180"/>
      </w:pPr>
    </w:lvl>
    <w:lvl w:ilvl="3" w:tplc="0402000F" w:tentative="1">
      <w:start w:val="1"/>
      <w:numFmt w:val="decimal"/>
      <w:lvlText w:val="%4."/>
      <w:lvlJc w:val="left"/>
      <w:pPr>
        <w:ind w:left="2554" w:hanging="360"/>
      </w:pPr>
    </w:lvl>
    <w:lvl w:ilvl="4" w:tplc="04020019" w:tentative="1">
      <w:start w:val="1"/>
      <w:numFmt w:val="lowerLetter"/>
      <w:lvlText w:val="%5."/>
      <w:lvlJc w:val="left"/>
      <w:pPr>
        <w:ind w:left="3274" w:hanging="360"/>
      </w:pPr>
    </w:lvl>
    <w:lvl w:ilvl="5" w:tplc="0402001B" w:tentative="1">
      <w:start w:val="1"/>
      <w:numFmt w:val="lowerRoman"/>
      <w:lvlText w:val="%6."/>
      <w:lvlJc w:val="right"/>
      <w:pPr>
        <w:ind w:left="3994" w:hanging="180"/>
      </w:pPr>
    </w:lvl>
    <w:lvl w:ilvl="6" w:tplc="0402000F" w:tentative="1">
      <w:start w:val="1"/>
      <w:numFmt w:val="decimal"/>
      <w:lvlText w:val="%7."/>
      <w:lvlJc w:val="left"/>
      <w:pPr>
        <w:ind w:left="4714" w:hanging="360"/>
      </w:pPr>
    </w:lvl>
    <w:lvl w:ilvl="7" w:tplc="04020019" w:tentative="1">
      <w:start w:val="1"/>
      <w:numFmt w:val="lowerLetter"/>
      <w:lvlText w:val="%8."/>
      <w:lvlJc w:val="left"/>
      <w:pPr>
        <w:ind w:left="5434" w:hanging="360"/>
      </w:pPr>
    </w:lvl>
    <w:lvl w:ilvl="8" w:tplc="0402001B" w:tentative="1">
      <w:start w:val="1"/>
      <w:numFmt w:val="lowerRoman"/>
      <w:lvlText w:val="%9."/>
      <w:lvlJc w:val="right"/>
      <w:pPr>
        <w:ind w:left="6154" w:hanging="180"/>
      </w:pPr>
    </w:lvl>
  </w:abstractNum>
  <w:abstractNum w:abstractNumId="9" w15:restartNumberingAfterBreak="0">
    <w:nsid w:val="246914C8"/>
    <w:multiLevelType w:val="hybridMultilevel"/>
    <w:tmpl w:val="C896C03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0" w15:restartNumberingAfterBreak="0">
    <w:nsid w:val="24E359E3"/>
    <w:multiLevelType w:val="multilevel"/>
    <w:tmpl w:val="27DEFBD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C4809"/>
    <w:multiLevelType w:val="hybridMultilevel"/>
    <w:tmpl w:val="1F9ABF42"/>
    <w:lvl w:ilvl="0" w:tplc="5AE0CDEE">
      <w:start w:val="1"/>
      <w:numFmt w:val="bullet"/>
      <w:lvlText w:val="-"/>
      <w:lvlJc w:val="left"/>
      <w:pPr>
        <w:ind w:left="1428" w:hanging="360"/>
      </w:pPr>
      <w:rPr>
        <w:rFonts w:ascii="Verdana" w:eastAsia="Times New Roman" w:hAnsi="Verdana" w:cs="All Times New Roman"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12" w15:restartNumberingAfterBreak="0">
    <w:nsid w:val="2E1C2E0E"/>
    <w:multiLevelType w:val="hybridMultilevel"/>
    <w:tmpl w:val="0AF842EC"/>
    <w:lvl w:ilvl="0" w:tplc="04020001">
      <w:start w:val="1"/>
      <w:numFmt w:val="bullet"/>
      <w:lvlText w:val=""/>
      <w:lvlJc w:val="left"/>
      <w:pPr>
        <w:ind w:left="720" w:hanging="360"/>
      </w:pPr>
      <w:rPr>
        <w:rFonts w:ascii="Symbol" w:hAnsi="Symbol" w:hint="default"/>
      </w:rPr>
    </w:lvl>
    <w:lvl w:ilvl="1" w:tplc="BB844FBA">
      <w:start w:val="1"/>
      <w:numFmt w:val="decimal"/>
      <w:lvlText w:val="2.%2."/>
      <w:lvlJc w:val="right"/>
      <w:pPr>
        <w:ind w:left="1440" w:hanging="360"/>
      </w:pPr>
      <w:rPr>
        <w:rFonts w:ascii="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19C6D5F"/>
    <w:multiLevelType w:val="multilevel"/>
    <w:tmpl w:val="040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007138E"/>
    <w:multiLevelType w:val="multilevel"/>
    <w:tmpl w:val="ED509BC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1A43D5"/>
    <w:multiLevelType w:val="multilevel"/>
    <w:tmpl w:val="90C65D9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E91F12"/>
    <w:multiLevelType w:val="hybridMultilevel"/>
    <w:tmpl w:val="AD9003AA"/>
    <w:lvl w:ilvl="0" w:tplc="DBA835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C7B35"/>
    <w:multiLevelType w:val="hybridMultilevel"/>
    <w:tmpl w:val="E046A3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4421FE6"/>
    <w:multiLevelType w:val="hybridMultilevel"/>
    <w:tmpl w:val="26D07FB4"/>
    <w:lvl w:ilvl="0" w:tplc="B3F2FBA4">
      <w:start w:val="1"/>
      <w:numFmt w:val="decimal"/>
      <w:lvlText w:val="%1."/>
      <w:lvlJc w:val="left"/>
      <w:pPr>
        <w:ind w:left="394" w:hanging="360"/>
      </w:pPr>
      <w:rPr>
        <w:rFonts w:hint="default"/>
        <w:b w:val="0"/>
        <w:color w:val="000000"/>
        <w:sz w:val="22"/>
        <w:szCs w:val="22"/>
      </w:rPr>
    </w:lvl>
    <w:lvl w:ilvl="1" w:tplc="04020019" w:tentative="1">
      <w:start w:val="1"/>
      <w:numFmt w:val="lowerLetter"/>
      <w:lvlText w:val="%2."/>
      <w:lvlJc w:val="left"/>
      <w:pPr>
        <w:ind w:left="1114" w:hanging="360"/>
      </w:pPr>
    </w:lvl>
    <w:lvl w:ilvl="2" w:tplc="0402001B" w:tentative="1">
      <w:start w:val="1"/>
      <w:numFmt w:val="lowerRoman"/>
      <w:lvlText w:val="%3."/>
      <w:lvlJc w:val="right"/>
      <w:pPr>
        <w:ind w:left="1834" w:hanging="180"/>
      </w:pPr>
    </w:lvl>
    <w:lvl w:ilvl="3" w:tplc="0402000F" w:tentative="1">
      <w:start w:val="1"/>
      <w:numFmt w:val="decimal"/>
      <w:lvlText w:val="%4."/>
      <w:lvlJc w:val="left"/>
      <w:pPr>
        <w:ind w:left="2554" w:hanging="360"/>
      </w:pPr>
    </w:lvl>
    <w:lvl w:ilvl="4" w:tplc="04020019" w:tentative="1">
      <w:start w:val="1"/>
      <w:numFmt w:val="lowerLetter"/>
      <w:lvlText w:val="%5."/>
      <w:lvlJc w:val="left"/>
      <w:pPr>
        <w:ind w:left="3274" w:hanging="360"/>
      </w:pPr>
    </w:lvl>
    <w:lvl w:ilvl="5" w:tplc="0402001B" w:tentative="1">
      <w:start w:val="1"/>
      <w:numFmt w:val="lowerRoman"/>
      <w:lvlText w:val="%6."/>
      <w:lvlJc w:val="right"/>
      <w:pPr>
        <w:ind w:left="3994" w:hanging="180"/>
      </w:pPr>
    </w:lvl>
    <w:lvl w:ilvl="6" w:tplc="0402000F" w:tentative="1">
      <w:start w:val="1"/>
      <w:numFmt w:val="decimal"/>
      <w:lvlText w:val="%7."/>
      <w:lvlJc w:val="left"/>
      <w:pPr>
        <w:ind w:left="4714" w:hanging="360"/>
      </w:pPr>
    </w:lvl>
    <w:lvl w:ilvl="7" w:tplc="04020019" w:tentative="1">
      <w:start w:val="1"/>
      <w:numFmt w:val="lowerLetter"/>
      <w:lvlText w:val="%8."/>
      <w:lvlJc w:val="left"/>
      <w:pPr>
        <w:ind w:left="5434" w:hanging="360"/>
      </w:pPr>
    </w:lvl>
    <w:lvl w:ilvl="8" w:tplc="0402001B" w:tentative="1">
      <w:start w:val="1"/>
      <w:numFmt w:val="lowerRoman"/>
      <w:lvlText w:val="%9."/>
      <w:lvlJc w:val="right"/>
      <w:pPr>
        <w:ind w:left="6154" w:hanging="180"/>
      </w:pPr>
    </w:lvl>
  </w:abstractNum>
  <w:abstractNum w:abstractNumId="19" w15:restartNumberingAfterBreak="0">
    <w:nsid w:val="58045F19"/>
    <w:multiLevelType w:val="hybridMultilevel"/>
    <w:tmpl w:val="61BE1FF8"/>
    <w:lvl w:ilvl="0" w:tplc="7C309AC4">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15:restartNumberingAfterBreak="0">
    <w:nsid w:val="5F3F2E56"/>
    <w:multiLevelType w:val="hybridMultilevel"/>
    <w:tmpl w:val="D6CC0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4355EE"/>
    <w:multiLevelType w:val="multilevel"/>
    <w:tmpl w:val="B5B80230"/>
    <w:lvl w:ilvl="0">
      <w:start w:val="4"/>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5B0F9B"/>
    <w:multiLevelType w:val="multilevel"/>
    <w:tmpl w:val="47FCDAF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556884"/>
    <w:multiLevelType w:val="hybridMultilevel"/>
    <w:tmpl w:val="99189C70"/>
    <w:lvl w:ilvl="0" w:tplc="F732F40C">
      <w:start w:val="1"/>
      <w:numFmt w:val="upperRoman"/>
      <w:lvlText w:val="%1."/>
      <w:lvlJc w:val="left"/>
      <w:pPr>
        <w:ind w:left="1080" w:hanging="72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D2F7EEB"/>
    <w:multiLevelType w:val="hybridMultilevel"/>
    <w:tmpl w:val="C47A03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1"/>
  </w:num>
  <w:num w:numId="5">
    <w:abstractNumId w:val="22"/>
  </w:num>
  <w:num w:numId="6">
    <w:abstractNumId w:val="15"/>
  </w:num>
  <w:num w:numId="7">
    <w:abstractNumId w:val="21"/>
  </w:num>
  <w:num w:numId="8">
    <w:abstractNumId w:val="5"/>
  </w:num>
  <w:num w:numId="9">
    <w:abstractNumId w:val="4"/>
  </w:num>
  <w:num w:numId="10">
    <w:abstractNumId w:val="23"/>
  </w:num>
  <w:num w:numId="11">
    <w:abstractNumId w:val="14"/>
  </w:num>
  <w:num w:numId="12">
    <w:abstractNumId w:val="18"/>
  </w:num>
  <w:num w:numId="13">
    <w:abstractNumId w:val="3"/>
  </w:num>
  <w:num w:numId="14">
    <w:abstractNumId w:val="13"/>
  </w:num>
  <w:num w:numId="15">
    <w:abstractNumId w:val="6"/>
  </w:num>
  <w:num w:numId="16">
    <w:abstractNumId w:val="19"/>
  </w:num>
  <w:num w:numId="17">
    <w:abstractNumId w:val="8"/>
  </w:num>
  <w:num w:numId="18">
    <w:abstractNumId w:val="17"/>
  </w:num>
  <w:num w:numId="19">
    <w:abstractNumId w:val="2"/>
  </w:num>
  <w:num w:numId="20">
    <w:abstractNumId w:val="24"/>
  </w:num>
  <w:num w:numId="21">
    <w:abstractNumId w:val="7"/>
  </w:num>
  <w:num w:numId="22">
    <w:abstractNumId w:val="9"/>
  </w:num>
  <w:num w:numId="23">
    <w:abstractNumId w:val="12"/>
  </w:num>
  <w:num w:numId="24">
    <w:abstractNumId w:val="0"/>
  </w:num>
  <w:num w:numId="25">
    <w:abstractNumId w:val="20"/>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346418"/>
    <w:rsid w:val="00001248"/>
    <w:rsid w:val="00006127"/>
    <w:rsid w:val="00006F57"/>
    <w:rsid w:val="00007068"/>
    <w:rsid w:val="000071C5"/>
    <w:rsid w:val="000133F0"/>
    <w:rsid w:val="00021ED5"/>
    <w:rsid w:val="00024AA8"/>
    <w:rsid w:val="00024FF0"/>
    <w:rsid w:val="0002553F"/>
    <w:rsid w:val="00032AD3"/>
    <w:rsid w:val="00037A8B"/>
    <w:rsid w:val="00037FCC"/>
    <w:rsid w:val="00042996"/>
    <w:rsid w:val="000451AC"/>
    <w:rsid w:val="00045560"/>
    <w:rsid w:val="00045F23"/>
    <w:rsid w:val="00046795"/>
    <w:rsid w:val="00054327"/>
    <w:rsid w:val="000555A1"/>
    <w:rsid w:val="00060E5C"/>
    <w:rsid w:val="00061863"/>
    <w:rsid w:val="00065BD0"/>
    <w:rsid w:val="000676C0"/>
    <w:rsid w:val="000700C4"/>
    <w:rsid w:val="00070CEC"/>
    <w:rsid w:val="000715E6"/>
    <w:rsid w:val="00073D99"/>
    <w:rsid w:val="000924CE"/>
    <w:rsid w:val="00095490"/>
    <w:rsid w:val="0009687E"/>
    <w:rsid w:val="000A16BD"/>
    <w:rsid w:val="000A1C54"/>
    <w:rsid w:val="000B36D6"/>
    <w:rsid w:val="000B4DB0"/>
    <w:rsid w:val="000C35A4"/>
    <w:rsid w:val="000C6EFA"/>
    <w:rsid w:val="000D1620"/>
    <w:rsid w:val="000D183C"/>
    <w:rsid w:val="000D1FD2"/>
    <w:rsid w:val="000D3A77"/>
    <w:rsid w:val="000D5400"/>
    <w:rsid w:val="000D563F"/>
    <w:rsid w:val="000D7038"/>
    <w:rsid w:val="000D7C97"/>
    <w:rsid w:val="000E0AE0"/>
    <w:rsid w:val="000E559A"/>
    <w:rsid w:val="000E55A3"/>
    <w:rsid w:val="000F22CF"/>
    <w:rsid w:val="000F28C2"/>
    <w:rsid w:val="000F719D"/>
    <w:rsid w:val="000F7B24"/>
    <w:rsid w:val="00101B7F"/>
    <w:rsid w:val="00101F1B"/>
    <w:rsid w:val="00102087"/>
    <w:rsid w:val="00105094"/>
    <w:rsid w:val="00112935"/>
    <w:rsid w:val="001136E9"/>
    <w:rsid w:val="00114946"/>
    <w:rsid w:val="00115978"/>
    <w:rsid w:val="00122893"/>
    <w:rsid w:val="0012426E"/>
    <w:rsid w:val="00124DA1"/>
    <w:rsid w:val="001261CE"/>
    <w:rsid w:val="0012752F"/>
    <w:rsid w:val="001305D6"/>
    <w:rsid w:val="00130E09"/>
    <w:rsid w:val="00130F15"/>
    <w:rsid w:val="001330D7"/>
    <w:rsid w:val="00135062"/>
    <w:rsid w:val="00136704"/>
    <w:rsid w:val="0014008B"/>
    <w:rsid w:val="0014028F"/>
    <w:rsid w:val="00140BEE"/>
    <w:rsid w:val="00142B27"/>
    <w:rsid w:val="0014365B"/>
    <w:rsid w:val="00153D1B"/>
    <w:rsid w:val="00156B44"/>
    <w:rsid w:val="00162BCF"/>
    <w:rsid w:val="0016529A"/>
    <w:rsid w:val="00175A0C"/>
    <w:rsid w:val="00175B31"/>
    <w:rsid w:val="001806D3"/>
    <w:rsid w:val="00184584"/>
    <w:rsid w:val="0018530D"/>
    <w:rsid w:val="00185954"/>
    <w:rsid w:val="001879F3"/>
    <w:rsid w:val="00191316"/>
    <w:rsid w:val="00194EE2"/>
    <w:rsid w:val="0019567A"/>
    <w:rsid w:val="001964D6"/>
    <w:rsid w:val="001A0E16"/>
    <w:rsid w:val="001A2319"/>
    <w:rsid w:val="001A2A15"/>
    <w:rsid w:val="001A3B34"/>
    <w:rsid w:val="001B123D"/>
    <w:rsid w:val="001B4138"/>
    <w:rsid w:val="001B7F57"/>
    <w:rsid w:val="001C1D17"/>
    <w:rsid w:val="001C1F36"/>
    <w:rsid w:val="001C37B3"/>
    <w:rsid w:val="001C516D"/>
    <w:rsid w:val="001C6782"/>
    <w:rsid w:val="001D130F"/>
    <w:rsid w:val="001D1B9F"/>
    <w:rsid w:val="001D2905"/>
    <w:rsid w:val="001D427D"/>
    <w:rsid w:val="001D70FB"/>
    <w:rsid w:val="001F0350"/>
    <w:rsid w:val="001F666A"/>
    <w:rsid w:val="001F6B9E"/>
    <w:rsid w:val="001F7DD3"/>
    <w:rsid w:val="00200C0B"/>
    <w:rsid w:val="002029BD"/>
    <w:rsid w:val="002059D9"/>
    <w:rsid w:val="00206C3D"/>
    <w:rsid w:val="00211E79"/>
    <w:rsid w:val="002143C9"/>
    <w:rsid w:val="0021756B"/>
    <w:rsid w:val="00221579"/>
    <w:rsid w:val="00221F4C"/>
    <w:rsid w:val="002257A0"/>
    <w:rsid w:val="002268A6"/>
    <w:rsid w:val="00230C9B"/>
    <w:rsid w:val="0023244F"/>
    <w:rsid w:val="002439A7"/>
    <w:rsid w:val="00243BF4"/>
    <w:rsid w:val="0024731C"/>
    <w:rsid w:val="00247AE8"/>
    <w:rsid w:val="00251DCA"/>
    <w:rsid w:val="00252E9F"/>
    <w:rsid w:val="00253B71"/>
    <w:rsid w:val="0025671C"/>
    <w:rsid w:val="00265C09"/>
    <w:rsid w:val="0026641B"/>
    <w:rsid w:val="00266644"/>
    <w:rsid w:val="002670F1"/>
    <w:rsid w:val="00267FC4"/>
    <w:rsid w:val="0027043B"/>
    <w:rsid w:val="00270878"/>
    <w:rsid w:val="00270F92"/>
    <w:rsid w:val="00274DA6"/>
    <w:rsid w:val="0027552F"/>
    <w:rsid w:val="00276738"/>
    <w:rsid w:val="00277C8E"/>
    <w:rsid w:val="00281482"/>
    <w:rsid w:val="002878AD"/>
    <w:rsid w:val="00290F03"/>
    <w:rsid w:val="0029310F"/>
    <w:rsid w:val="002975E2"/>
    <w:rsid w:val="00297C7C"/>
    <w:rsid w:val="002A05A9"/>
    <w:rsid w:val="002A0E78"/>
    <w:rsid w:val="002A188B"/>
    <w:rsid w:val="002A33BE"/>
    <w:rsid w:val="002A3926"/>
    <w:rsid w:val="002A4255"/>
    <w:rsid w:val="002A6970"/>
    <w:rsid w:val="002B0093"/>
    <w:rsid w:val="002B2551"/>
    <w:rsid w:val="002B45A8"/>
    <w:rsid w:val="002B529E"/>
    <w:rsid w:val="002B5597"/>
    <w:rsid w:val="002C1873"/>
    <w:rsid w:val="002C3B41"/>
    <w:rsid w:val="002C64A0"/>
    <w:rsid w:val="002C7E47"/>
    <w:rsid w:val="002D1B6A"/>
    <w:rsid w:val="002D200B"/>
    <w:rsid w:val="002D203B"/>
    <w:rsid w:val="002D41B2"/>
    <w:rsid w:val="002D7D09"/>
    <w:rsid w:val="002E1BCF"/>
    <w:rsid w:val="002E5094"/>
    <w:rsid w:val="002E6A5E"/>
    <w:rsid w:val="002E7E3B"/>
    <w:rsid w:val="002F0A84"/>
    <w:rsid w:val="002F4ED6"/>
    <w:rsid w:val="002F4EFE"/>
    <w:rsid w:val="002F796E"/>
    <w:rsid w:val="00301DA8"/>
    <w:rsid w:val="00303050"/>
    <w:rsid w:val="00303445"/>
    <w:rsid w:val="003057D8"/>
    <w:rsid w:val="003068E9"/>
    <w:rsid w:val="0031121A"/>
    <w:rsid w:val="00311CA8"/>
    <w:rsid w:val="00313C35"/>
    <w:rsid w:val="00314809"/>
    <w:rsid w:val="00320E15"/>
    <w:rsid w:val="003227EA"/>
    <w:rsid w:val="00327883"/>
    <w:rsid w:val="00334DAC"/>
    <w:rsid w:val="0034043C"/>
    <w:rsid w:val="003438B9"/>
    <w:rsid w:val="00344308"/>
    <w:rsid w:val="003446E3"/>
    <w:rsid w:val="00346418"/>
    <w:rsid w:val="00347699"/>
    <w:rsid w:val="003556E3"/>
    <w:rsid w:val="003568DC"/>
    <w:rsid w:val="00361838"/>
    <w:rsid w:val="00362446"/>
    <w:rsid w:val="003662A3"/>
    <w:rsid w:val="0036699E"/>
    <w:rsid w:val="00366DF3"/>
    <w:rsid w:val="00377181"/>
    <w:rsid w:val="00377C38"/>
    <w:rsid w:val="00381947"/>
    <w:rsid w:val="00381A21"/>
    <w:rsid w:val="00381E33"/>
    <w:rsid w:val="0039473B"/>
    <w:rsid w:val="0039478C"/>
    <w:rsid w:val="00394DF1"/>
    <w:rsid w:val="00396287"/>
    <w:rsid w:val="00396C01"/>
    <w:rsid w:val="003A03A8"/>
    <w:rsid w:val="003A1C86"/>
    <w:rsid w:val="003A22D8"/>
    <w:rsid w:val="003A37D5"/>
    <w:rsid w:val="003A4E25"/>
    <w:rsid w:val="003A5C5F"/>
    <w:rsid w:val="003A6BA2"/>
    <w:rsid w:val="003A7DDA"/>
    <w:rsid w:val="003B0E1B"/>
    <w:rsid w:val="003B3E69"/>
    <w:rsid w:val="003C3180"/>
    <w:rsid w:val="003C5E50"/>
    <w:rsid w:val="003D0305"/>
    <w:rsid w:val="003D22B8"/>
    <w:rsid w:val="003D2B74"/>
    <w:rsid w:val="003D305E"/>
    <w:rsid w:val="003D5642"/>
    <w:rsid w:val="003E5491"/>
    <w:rsid w:val="003F3A09"/>
    <w:rsid w:val="003F3B06"/>
    <w:rsid w:val="003F44EE"/>
    <w:rsid w:val="003F4A51"/>
    <w:rsid w:val="00401353"/>
    <w:rsid w:val="00402670"/>
    <w:rsid w:val="004053CF"/>
    <w:rsid w:val="00411A3B"/>
    <w:rsid w:val="004121D5"/>
    <w:rsid w:val="00412304"/>
    <w:rsid w:val="00412E9A"/>
    <w:rsid w:val="00415EFA"/>
    <w:rsid w:val="0041724E"/>
    <w:rsid w:val="0043682B"/>
    <w:rsid w:val="00436ACB"/>
    <w:rsid w:val="00437B31"/>
    <w:rsid w:val="00440D9C"/>
    <w:rsid w:val="00445388"/>
    <w:rsid w:val="00446321"/>
    <w:rsid w:val="00455F7C"/>
    <w:rsid w:val="004564BD"/>
    <w:rsid w:val="00456EFB"/>
    <w:rsid w:val="00462BBC"/>
    <w:rsid w:val="0046338A"/>
    <w:rsid w:val="00475240"/>
    <w:rsid w:val="004760A3"/>
    <w:rsid w:val="004777D1"/>
    <w:rsid w:val="00481D63"/>
    <w:rsid w:val="00481E35"/>
    <w:rsid w:val="00483166"/>
    <w:rsid w:val="00483D4D"/>
    <w:rsid w:val="0048449B"/>
    <w:rsid w:val="00485435"/>
    <w:rsid w:val="00490D80"/>
    <w:rsid w:val="0049356C"/>
    <w:rsid w:val="004951A8"/>
    <w:rsid w:val="004A12C4"/>
    <w:rsid w:val="004A6775"/>
    <w:rsid w:val="004A7252"/>
    <w:rsid w:val="004B035A"/>
    <w:rsid w:val="004B6503"/>
    <w:rsid w:val="004B6C76"/>
    <w:rsid w:val="004B75D4"/>
    <w:rsid w:val="004C15A4"/>
    <w:rsid w:val="004C1E2F"/>
    <w:rsid w:val="004C2627"/>
    <w:rsid w:val="004C64CB"/>
    <w:rsid w:val="004D1A1A"/>
    <w:rsid w:val="004D3A6A"/>
    <w:rsid w:val="004D4637"/>
    <w:rsid w:val="004D5A1B"/>
    <w:rsid w:val="004E04B9"/>
    <w:rsid w:val="004E2F14"/>
    <w:rsid w:val="004F1E09"/>
    <w:rsid w:val="004F295B"/>
    <w:rsid w:val="004F7555"/>
    <w:rsid w:val="00504FD1"/>
    <w:rsid w:val="005052C5"/>
    <w:rsid w:val="00510692"/>
    <w:rsid w:val="00511118"/>
    <w:rsid w:val="00512E8D"/>
    <w:rsid w:val="00514075"/>
    <w:rsid w:val="00516656"/>
    <w:rsid w:val="00517C36"/>
    <w:rsid w:val="00526267"/>
    <w:rsid w:val="00526D4E"/>
    <w:rsid w:val="00530C61"/>
    <w:rsid w:val="005329F9"/>
    <w:rsid w:val="00533146"/>
    <w:rsid w:val="005404ED"/>
    <w:rsid w:val="00544043"/>
    <w:rsid w:val="005454D8"/>
    <w:rsid w:val="00546C79"/>
    <w:rsid w:val="0055592C"/>
    <w:rsid w:val="00555E58"/>
    <w:rsid w:val="00556C93"/>
    <w:rsid w:val="00557DF1"/>
    <w:rsid w:val="00564AF2"/>
    <w:rsid w:val="005678D2"/>
    <w:rsid w:val="0057054D"/>
    <w:rsid w:val="00570E30"/>
    <w:rsid w:val="00571C0E"/>
    <w:rsid w:val="0058430B"/>
    <w:rsid w:val="005878B0"/>
    <w:rsid w:val="005902E4"/>
    <w:rsid w:val="00594865"/>
    <w:rsid w:val="00597404"/>
    <w:rsid w:val="005A0F8D"/>
    <w:rsid w:val="005A25AF"/>
    <w:rsid w:val="005B0E19"/>
    <w:rsid w:val="005B2B57"/>
    <w:rsid w:val="005C20F9"/>
    <w:rsid w:val="005C2238"/>
    <w:rsid w:val="005C7379"/>
    <w:rsid w:val="005D13C5"/>
    <w:rsid w:val="005D6D41"/>
    <w:rsid w:val="005E0012"/>
    <w:rsid w:val="005E2253"/>
    <w:rsid w:val="005E25B4"/>
    <w:rsid w:val="005E4BE8"/>
    <w:rsid w:val="005E5731"/>
    <w:rsid w:val="005E701A"/>
    <w:rsid w:val="005F07E3"/>
    <w:rsid w:val="005F204F"/>
    <w:rsid w:val="00603F49"/>
    <w:rsid w:val="006063A8"/>
    <w:rsid w:val="00610157"/>
    <w:rsid w:val="00614AFB"/>
    <w:rsid w:val="00615E9C"/>
    <w:rsid w:val="006179EE"/>
    <w:rsid w:val="00622232"/>
    <w:rsid w:val="006231B0"/>
    <w:rsid w:val="0062338C"/>
    <w:rsid w:val="00626503"/>
    <w:rsid w:val="0062743C"/>
    <w:rsid w:val="0063090D"/>
    <w:rsid w:val="006363D5"/>
    <w:rsid w:val="00645291"/>
    <w:rsid w:val="00647161"/>
    <w:rsid w:val="00647989"/>
    <w:rsid w:val="006530A6"/>
    <w:rsid w:val="0066426E"/>
    <w:rsid w:val="00665F63"/>
    <w:rsid w:val="006723D3"/>
    <w:rsid w:val="006739A0"/>
    <w:rsid w:val="00674818"/>
    <w:rsid w:val="00675009"/>
    <w:rsid w:val="006770E0"/>
    <w:rsid w:val="00677A4C"/>
    <w:rsid w:val="00680287"/>
    <w:rsid w:val="00680C8E"/>
    <w:rsid w:val="00686B7A"/>
    <w:rsid w:val="00691937"/>
    <w:rsid w:val="0069231F"/>
    <w:rsid w:val="00693107"/>
    <w:rsid w:val="00693A2B"/>
    <w:rsid w:val="00696D33"/>
    <w:rsid w:val="00697975"/>
    <w:rsid w:val="006A01A5"/>
    <w:rsid w:val="006A2689"/>
    <w:rsid w:val="006A61C6"/>
    <w:rsid w:val="006A7FA0"/>
    <w:rsid w:val="006B0D97"/>
    <w:rsid w:val="006C3D31"/>
    <w:rsid w:val="006C6E81"/>
    <w:rsid w:val="006C74C1"/>
    <w:rsid w:val="006D1535"/>
    <w:rsid w:val="006D4BE2"/>
    <w:rsid w:val="006D6BB3"/>
    <w:rsid w:val="006D7D31"/>
    <w:rsid w:val="006E5663"/>
    <w:rsid w:val="006E5887"/>
    <w:rsid w:val="006F21A3"/>
    <w:rsid w:val="006F775F"/>
    <w:rsid w:val="00701547"/>
    <w:rsid w:val="00705E6B"/>
    <w:rsid w:val="00706A6C"/>
    <w:rsid w:val="007072A5"/>
    <w:rsid w:val="00713915"/>
    <w:rsid w:val="00713A3F"/>
    <w:rsid w:val="00713B30"/>
    <w:rsid w:val="0071667A"/>
    <w:rsid w:val="0071715D"/>
    <w:rsid w:val="00731C1B"/>
    <w:rsid w:val="00732E42"/>
    <w:rsid w:val="0074340C"/>
    <w:rsid w:val="00743A0D"/>
    <w:rsid w:val="007449ED"/>
    <w:rsid w:val="00747823"/>
    <w:rsid w:val="00751FE3"/>
    <w:rsid w:val="00753316"/>
    <w:rsid w:val="0075470C"/>
    <w:rsid w:val="00754794"/>
    <w:rsid w:val="00754E03"/>
    <w:rsid w:val="00770DB3"/>
    <w:rsid w:val="007711BE"/>
    <w:rsid w:val="0077158D"/>
    <w:rsid w:val="0077229E"/>
    <w:rsid w:val="007733B2"/>
    <w:rsid w:val="007737E1"/>
    <w:rsid w:val="007737F0"/>
    <w:rsid w:val="00774E7E"/>
    <w:rsid w:val="007812E9"/>
    <w:rsid w:val="00784684"/>
    <w:rsid w:val="00790327"/>
    <w:rsid w:val="00791CB9"/>
    <w:rsid w:val="00792838"/>
    <w:rsid w:val="00795C85"/>
    <w:rsid w:val="00796F3D"/>
    <w:rsid w:val="007973A5"/>
    <w:rsid w:val="007A1783"/>
    <w:rsid w:val="007A2606"/>
    <w:rsid w:val="007A3F27"/>
    <w:rsid w:val="007A563D"/>
    <w:rsid w:val="007A6B1C"/>
    <w:rsid w:val="007B0BAD"/>
    <w:rsid w:val="007B3283"/>
    <w:rsid w:val="007B39B4"/>
    <w:rsid w:val="007B6317"/>
    <w:rsid w:val="007C02D0"/>
    <w:rsid w:val="007C4D47"/>
    <w:rsid w:val="007D2C34"/>
    <w:rsid w:val="007D40A4"/>
    <w:rsid w:val="007D6F01"/>
    <w:rsid w:val="007E2501"/>
    <w:rsid w:val="007F2524"/>
    <w:rsid w:val="007F4661"/>
    <w:rsid w:val="007F76C3"/>
    <w:rsid w:val="00800BD2"/>
    <w:rsid w:val="008022DE"/>
    <w:rsid w:val="00804E04"/>
    <w:rsid w:val="00806780"/>
    <w:rsid w:val="00806A42"/>
    <w:rsid w:val="008070D5"/>
    <w:rsid w:val="00815D32"/>
    <w:rsid w:val="00815F55"/>
    <w:rsid w:val="00817983"/>
    <w:rsid w:val="00821EE3"/>
    <w:rsid w:val="00823736"/>
    <w:rsid w:val="008260DC"/>
    <w:rsid w:val="008263CB"/>
    <w:rsid w:val="0082686A"/>
    <w:rsid w:val="0082710A"/>
    <w:rsid w:val="008302DD"/>
    <w:rsid w:val="00831454"/>
    <w:rsid w:val="00831BFF"/>
    <w:rsid w:val="008339BE"/>
    <w:rsid w:val="008340AD"/>
    <w:rsid w:val="00835B1F"/>
    <w:rsid w:val="00840309"/>
    <w:rsid w:val="00841187"/>
    <w:rsid w:val="008414EB"/>
    <w:rsid w:val="00843710"/>
    <w:rsid w:val="00846299"/>
    <w:rsid w:val="00847825"/>
    <w:rsid w:val="00847CB6"/>
    <w:rsid w:val="00847DC7"/>
    <w:rsid w:val="00853B36"/>
    <w:rsid w:val="00860EEA"/>
    <w:rsid w:val="0086427D"/>
    <w:rsid w:val="00864846"/>
    <w:rsid w:val="00871C9D"/>
    <w:rsid w:val="00873054"/>
    <w:rsid w:val="00873B07"/>
    <w:rsid w:val="00876F47"/>
    <w:rsid w:val="00880205"/>
    <w:rsid w:val="0088041B"/>
    <w:rsid w:val="008821C1"/>
    <w:rsid w:val="00882247"/>
    <w:rsid w:val="00883235"/>
    <w:rsid w:val="008845B7"/>
    <w:rsid w:val="00886B80"/>
    <w:rsid w:val="008875C1"/>
    <w:rsid w:val="00890085"/>
    <w:rsid w:val="00891000"/>
    <w:rsid w:val="00895572"/>
    <w:rsid w:val="00897394"/>
    <w:rsid w:val="008A1D8A"/>
    <w:rsid w:val="008A4537"/>
    <w:rsid w:val="008B3711"/>
    <w:rsid w:val="008B4A6D"/>
    <w:rsid w:val="008C0595"/>
    <w:rsid w:val="008C179E"/>
    <w:rsid w:val="008C39A6"/>
    <w:rsid w:val="008C3D9A"/>
    <w:rsid w:val="008C57FB"/>
    <w:rsid w:val="008D1EFB"/>
    <w:rsid w:val="008D66CD"/>
    <w:rsid w:val="008D7FD6"/>
    <w:rsid w:val="008E1BF3"/>
    <w:rsid w:val="008E2C71"/>
    <w:rsid w:val="008E4201"/>
    <w:rsid w:val="008E6BC9"/>
    <w:rsid w:val="008F0D95"/>
    <w:rsid w:val="009043F7"/>
    <w:rsid w:val="00905796"/>
    <w:rsid w:val="00913418"/>
    <w:rsid w:val="0091522E"/>
    <w:rsid w:val="0091586B"/>
    <w:rsid w:val="009233E8"/>
    <w:rsid w:val="0092373D"/>
    <w:rsid w:val="00924D81"/>
    <w:rsid w:val="0092587B"/>
    <w:rsid w:val="0093366D"/>
    <w:rsid w:val="0093681C"/>
    <w:rsid w:val="0094065D"/>
    <w:rsid w:val="00946900"/>
    <w:rsid w:val="00950BF3"/>
    <w:rsid w:val="0095220B"/>
    <w:rsid w:val="00956BBF"/>
    <w:rsid w:val="00957FF3"/>
    <w:rsid w:val="00962A4D"/>
    <w:rsid w:val="00970616"/>
    <w:rsid w:val="0097709C"/>
    <w:rsid w:val="0097773F"/>
    <w:rsid w:val="009849B4"/>
    <w:rsid w:val="00986305"/>
    <w:rsid w:val="009877EC"/>
    <w:rsid w:val="00990239"/>
    <w:rsid w:val="00990496"/>
    <w:rsid w:val="00990850"/>
    <w:rsid w:val="00991148"/>
    <w:rsid w:val="0099140B"/>
    <w:rsid w:val="00992863"/>
    <w:rsid w:val="009929C8"/>
    <w:rsid w:val="00994748"/>
    <w:rsid w:val="009A01D2"/>
    <w:rsid w:val="009A5EFB"/>
    <w:rsid w:val="009A6DAE"/>
    <w:rsid w:val="009B5C82"/>
    <w:rsid w:val="009B7D55"/>
    <w:rsid w:val="009C068C"/>
    <w:rsid w:val="009C0B27"/>
    <w:rsid w:val="009C161E"/>
    <w:rsid w:val="009D489E"/>
    <w:rsid w:val="009E1ED7"/>
    <w:rsid w:val="009E6824"/>
    <w:rsid w:val="009F274B"/>
    <w:rsid w:val="009F29A8"/>
    <w:rsid w:val="009F65F8"/>
    <w:rsid w:val="009F75E7"/>
    <w:rsid w:val="00A003EF"/>
    <w:rsid w:val="00A007FE"/>
    <w:rsid w:val="00A00E6C"/>
    <w:rsid w:val="00A1129A"/>
    <w:rsid w:val="00A176AD"/>
    <w:rsid w:val="00A21D38"/>
    <w:rsid w:val="00A24EE3"/>
    <w:rsid w:val="00A30061"/>
    <w:rsid w:val="00A312B6"/>
    <w:rsid w:val="00A31CD8"/>
    <w:rsid w:val="00A320AC"/>
    <w:rsid w:val="00A4062C"/>
    <w:rsid w:val="00A46BE6"/>
    <w:rsid w:val="00A51A33"/>
    <w:rsid w:val="00A52A25"/>
    <w:rsid w:val="00A530FE"/>
    <w:rsid w:val="00A57482"/>
    <w:rsid w:val="00A6220E"/>
    <w:rsid w:val="00A71A89"/>
    <w:rsid w:val="00A73001"/>
    <w:rsid w:val="00A771EA"/>
    <w:rsid w:val="00A80B84"/>
    <w:rsid w:val="00A80FD9"/>
    <w:rsid w:val="00A811AD"/>
    <w:rsid w:val="00A83999"/>
    <w:rsid w:val="00A87FD1"/>
    <w:rsid w:val="00A935C5"/>
    <w:rsid w:val="00A954AA"/>
    <w:rsid w:val="00AA5D74"/>
    <w:rsid w:val="00AC734A"/>
    <w:rsid w:val="00AD45CA"/>
    <w:rsid w:val="00AD5A53"/>
    <w:rsid w:val="00AE1723"/>
    <w:rsid w:val="00AE248D"/>
    <w:rsid w:val="00AE27AC"/>
    <w:rsid w:val="00AE3929"/>
    <w:rsid w:val="00AE3BF7"/>
    <w:rsid w:val="00AE5C57"/>
    <w:rsid w:val="00AF101E"/>
    <w:rsid w:val="00AF115C"/>
    <w:rsid w:val="00AF20D2"/>
    <w:rsid w:val="00B01609"/>
    <w:rsid w:val="00B02348"/>
    <w:rsid w:val="00B0249A"/>
    <w:rsid w:val="00B0294F"/>
    <w:rsid w:val="00B05568"/>
    <w:rsid w:val="00B07349"/>
    <w:rsid w:val="00B14DD6"/>
    <w:rsid w:val="00B159BD"/>
    <w:rsid w:val="00B22A6D"/>
    <w:rsid w:val="00B22A72"/>
    <w:rsid w:val="00B255FA"/>
    <w:rsid w:val="00B264EC"/>
    <w:rsid w:val="00B314BE"/>
    <w:rsid w:val="00B36382"/>
    <w:rsid w:val="00B368CF"/>
    <w:rsid w:val="00B36B9C"/>
    <w:rsid w:val="00B42078"/>
    <w:rsid w:val="00B4327E"/>
    <w:rsid w:val="00B46360"/>
    <w:rsid w:val="00B467F6"/>
    <w:rsid w:val="00B511E7"/>
    <w:rsid w:val="00B54A03"/>
    <w:rsid w:val="00B606FA"/>
    <w:rsid w:val="00B6115A"/>
    <w:rsid w:val="00B61409"/>
    <w:rsid w:val="00B65F1F"/>
    <w:rsid w:val="00B6684B"/>
    <w:rsid w:val="00B672F5"/>
    <w:rsid w:val="00B67FE6"/>
    <w:rsid w:val="00B702F0"/>
    <w:rsid w:val="00B714F4"/>
    <w:rsid w:val="00B73FC7"/>
    <w:rsid w:val="00B74BC9"/>
    <w:rsid w:val="00B74D52"/>
    <w:rsid w:val="00B77AAC"/>
    <w:rsid w:val="00B817A3"/>
    <w:rsid w:val="00B81ABC"/>
    <w:rsid w:val="00B874CD"/>
    <w:rsid w:val="00B87586"/>
    <w:rsid w:val="00B92DC6"/>
    <w:rsid w:val="00B93232"/>
    <w:rsid w:val="00B93769"/>
    <w:rsid w:val="00B95940"/>
    <w:rsid w:val="00B959B9"/>
    <w:rsid w:val="00B966C1"/>
    <w:rsid w:val="00B96CB0"/>
    <w:rsid w:val="00BA184C"/>
    <w:rsid w:val="00BA41B7"/>
    <w:rsid w:val="00BA78BE"/>
    <w:rsid w:val="00BB2C35"/>
    <w:rsid w:val="00BB3981"/>
    <w:rsid w:val="00BB6616"/>
    <w:rsid w:val="00BB683B"/>
    <w:rsid w:val="00BB7E30"/>
    <w:rsid w:val="00BC29FE"/>
    <w:rsid w:val="00BC369C"/>
    <w:rsid w:val="00BC3F23"/>
    <w:rsid w:val="00BD02AB"/>
    <w:rsid w:val="00BD085A"/>
    <w:rsid w:val="00BE43B6"/>
    <w:rsid w:val="00BE6494"/>
    <w:rsid w:val="00BF3DBB"/>
    <w:rsid w:val="00C04296"/>
    <w:rsid w:val="00C0443D"/>
    <w:rsid w:val="00C07C5F"/>
    <w:rsid w:val="00C119D5"/>
    <w:rsid w:val="00C123E2"/>
    <w:rsid w:val="00C13426"/>
    <w:rsid w:val="00C17BD3"/>
    <w:rsid w:val="00C237FA"/>
    <w:rsid w:val="00C2473F"/>
    <w:rsid w:val="00C24FE6"/>
    <w:rsid w:val="00C27C1E"/>
    <w:rsid w:val="00C4061F"/>
    <w:rsid w:val="00C414BC"/>
    <w:rsid w:val="00C41F6B"/>
    <w:rsid w:val="00C42718"/>
    <w:rsid w:val="00C42DE8"/>
    <w:rsid w:val="00C42E42"/>
    <w:rsid w:val="00C43570"/>
    <w:rsid w:val="00C438D6"/>
    <w:rsid w:val="00C46152"/>
    <w:rsid w:val="00C47218"/>
    <w:rsid w:val="00C503AE"/>
    <w:rsid w:val="00C52293"/>
    <w:rsid w:val="00C52F58"/>
    <w:rsid w:val="00C54261"/>
    <w:rsid w:val="00C65303"/>
    <w:rsid w:val="00C65515"/>
    <w:rsid w:val="00C65FBD"/>
    <w:rsid w:val="00C721E3"/>
    <w:rsid w:val="00C81B05"/>
    <w:rsid w:val="00C8647B"/>
    <w:rsid w:val="00C933E6"/>
    <w:rsid w:val="00C94955"/>
    <w:rsid w:val="00C975C2"/>
    <w:rsid w:val="00C97EA7"/>
    <w:rsid w:val="00CA1F79"/>
    <w:rsid w:val="00CA7A96"/>
    <w:rsid w:val="00CB15A7"/>
    <w:rsid w:val="00CB2BD3"/>
    <w:rsid w:val="00CB53B0"/>
    <w:rsid w:val="00CC4191"/>
    <w:rsid w:val="00CC46C9"/>
    <w:rsid w:val="00CC4C0D"/>
    <w:rsid w:val="00CC522F"/>
    <w:rsid w:val="00CC556E"/>
    <w:rsid w:val="00CC70D8"/>
    <w:rsid w:val="00CD06C7"/>
    <w:rsid w:val="00CD5586"/>
    <w:rsid w:val="00CD6F72"/>
    <w:rsid w:val="00CE17FA"/>
    <w:rsid w:val="00CE3D94"/>
    <w:rsid w:val="00CE7E50"/>
    <w:rsid w:val="00CF0FAA"/>
    <w:rsid w:val="00CF2C85"/>
    <w:rsid w:val="00CF4EC7"/>
    <w:rsid w:val="00CF5259"/>
    <w:rsid w:val="00CF58D4"/>
    <w:rsid w:val="00CF6FCD"/>
    <w:rsid w:val="00D01EEA"/>
    <w:rsid w:val="00D03166"/>
    <w:rsid w:val="00D16A1E"/>
    <w:rsid w:val="00D177CA"/>
    <w:rsid w:val="00D23618"/>
    <w:rsid w:val="00D24085"/>
    <w:rsid w:val="00D27066"/>
    <w:rsid w:val="00D315D6"/>
    <w:rsid w:val="00D3671B"/>
    <w:rsid w:val="00D3693A"/>
    <w:rsid w:val="00D400EC"/>
    <w:rsid w:val="00D42ED5"/>
    <w:rsid w:val="00D43297"/>
    <w:rsid w:val="00D43348"/>
    <w:rsid w:val="00D5193D"/>
    <w:rsid w:val="00D52A24"/>
    <w:rsid w:val="00D541FD"/>
    <w:rsid w:val="00D54E3C"/>
    <w:rsid w:val="00D55A1A"/>
    <w:rsid w:val="00D6111D"/>
    <w:rsid w:val="00D61CAB"/>
    <w:rsid w:val="00D63487"/>
    <w:rsid w:val="00D71090"/>
    <w:rsid w:val="00D7496D"/>
    <w:rsid w:val="00D75D9A"/>
    <w:rsid w:val="00D76F84"/>
    <w:rsid w:val="00D77C65"/>
    <w:rsid w:val="00D82EF8"/>
    <w:rsid w:val="00D85C94"/>
    <w:rsid w:val="00D90FEB"/>
    <w:rsid w:val="00D916E6"/>
    <w:rsid w:val="00D91D31"/>
    <w:rsid w:val="00D9231C"/>
    <w:rsid w:val="00D9443D"/>
    <w:rsid w:val="00D96EB3"/>
    <w:rsid w:val="00DA28E1"/>
    <w:rsid w:val="00DA7AE4"/>
    <w:rsid w:val="00DB0163"/>
    <w:rsid w:val="00DB3AF5"/>
    <w:rsid w:val="00DB7DD5"/>
    <w:rsid w:val="00DC43D4"/>
    <w:rsid w:val="00DC62FA"/>
    <w:rsid w:val="00DC638D"/>
    <w:rsid w:val="00DD1D1C"/>
    <w:rsid w:val="00DD32B2"/>
    <w:rsid w:val="00DD3CD1"/>
    <w:rsid w:val="00DD6EB7"/>
    <w:rsid w:val="00DE2045"/>
    <w:rsid w:val="00DE2370"/>
    <w:rsid w:val="00DE3D9E"/>
    <w:rsid w:val="00DE5CFB"/>
    <w:rsid w:val="00DE7ECB"/>
    <w:rsid w:val="00DF30E3"/>
    <w:rsid w:val="00DF6404"/>
    <w:rsid w:val="00DF77E6"/>
    <w:rsid w:val="00E01D6F"/>
    <w:rsid w:val="00E0202A"/>
    <w:rsid w:val="00E0214B"/>
    <w:rsid w:val="00E047E0"/>
    <w:rsid w:val="00E1380B"/>
    <w:rsid w:val="00E1455D"/>
    <w:rsid w:val="00E178BA"/>
    <w:rsid w:val="00E32417"/>
    <w:rsid w:val="00E343B4"/>
    <w:rsid w:val="00E36C28"/>
    <w:rsid w:val="00E37F45"/>
    <w:rsid w:val="00E40367"/>
    <w:rsid w:val="00E40F0A"/>
    <w:rsid w:val="00E413B6"/>
    <w:rsid w:val="00E52F19"/>
    <w:rsid w:val="00E53E11"/>
    <w:rsid w:val="00E5423E"/>
    <w:rsid w:val="00E554C3"/>
    <w:rsid w:val="00E56B00"/>
    <w:rsid w:val="00E60DC2"/>
    <w:rsid w:val="00E620E2"/>
    <w:rsid w:val="00E62A9E"/>
    <w:rsid w:val="00E62C2E"/>
    <w:rsid w:val="00E62D73"/>
    <w:rsid w:val="00E62F77"/>
    <w:rsid w:val="00E66954"/>
    <w:rsid w:val="00E678E7"/>
    <w:rsid w:val="00E72198"/>
    <w:rsid w:val="00E72389"/>
    <w:rsid w:val="00E72E06"/>
    <w:rsid w:val="00E74834"/>
    <w:rsid w:val="00E86DDD"/>
    <w:rsid w:val="00E86E6D"/>
    <w:rsid w:val="00E912AC"/>
    <w:rsid w:val="00E96B18"/>
    <w:rsid w:val="00EA1816"/>
    <w:rsid w:val="00EA284C"/>
    <w:rsid w:val="00EA3996"/>
    <w:rsid w:val="00EA4AEF"/>
    <w:rsid w:val="00EA645D"/>
    <w:rsid w:val="00EA678A"/>
    <w:rsid w:val="00EA7301"/>
    <w:rsid w:val="00EA7FD6"/>
    <w:rsid w:val="00EB5C1C"/>
    <w:rsid w:val="00EB6F87"/>
    <w:rsid w:val="00EC0069"/>
    <w:rsid w:val="00EC1E78"/>
    <w:rsid w:val="00EC32AC"/>
    <w:rsid w:val="00EC4BA8"/>
    <w:rsid w:val="00EC7A9D"/>
    <w:rsid w:val="00ED01EC"/>
    <w:rsid w:val="00ED194A"/>
    <w:rsid w:val="00ED296F"/>
    <w:rsid w:val="00EE3189"/>
    <w:rsid w:val="00EE5AFB"/>
    <w:rsid w:val="00EE6DC4"/>
    <w:rsid w:val="00EF5825"/>
    <w:rsid w:val="00EF645D"/>
    <w:rsid w:val="00EF6E7A"/>
    <w:rsid w:val="00F00AE2"/>
    <w:rsid w:val="00F04C71"/>
    <w:rsid w:val="00F06606"/>
    <w:rsid w:val="00F1134E"/>
    <w:rsid w:val="00F16254"/>
    <w:rsid w:val="00F16C85"/>
    <w:rsid w:val="00F2041E"/>
    <w:rsid w:val="00F20531"/>
    <w:rsid w:val="00F23CDF"/>
    <w:rsid w:val="00F25B29"/>
    <w:rsid w:val="00F308E6"/>
    <w:rsid w:val="00F3123D"/>
    <w:rsid w:val="00F35329"/>
    <w:rsid w:val="00F36ADA"/>
    <w:rsid w:val="00F422CB"/>
    <w:rsid w:val="00F442BF"/>
    <w:rsid w:val="00F4729B"/>
    <w:rsid w:val="00F54AB5"/>
    <w:rsid w:val="00F56DB0"/>
    <w:rsid w:val="00F57B0B"/>
    <w:rsid w:val="00F60699"/>
    <w:rsid w:val="00F62093"/>
    <w:rsid w:val="00F63F19"/>
    <w:rsid w:val="00F66032"/>
    <w:rsid w:val="00F7013D"/>
    <w:rsid w:val="00F73B27"/>
    <w:rsid w:val="00F7492B"/>
    <w:rsid w:val="00F76278"/>
    <w:rsid w:val="00F814F2"/>
    <w:rsid w:val="00F819B2"/>
    <w:rsid w:val="00F82823"/>
    <w:rsid w:val="00F83C92"/>
    <w:rsid w:val="00F87A44"/>
    <w:rsid w:val="00F9061C"/>
    <w:rsid w:val="00F945BB"/>
    <w:rsid w:val="00FA5E09"/>
    <w:rsid w:val="00FB6D1C"/>
    <w:rsid w:val="00FC098A"/>
    <w:rsid w:val="00FC479D"/>
    <w:rsid w:val="00FC48D0"/>
    <w:rsid w:val="00FD07CE"/>
    <w:rsid w:val="00FD4D61"/>
    <w:rsid w:val="00FD5953"/>
    <w:rsid w:val="00FD69ED"/>
    <w:rsid w:val="00FE0CFF"/>
    <w:rsid w:val="00FE1857"/>
    <w:rsid w:val="00FE2E81"/>
    <w:rsid w:val="00FE355B"/>
    <w:rsid w:val="00FE3CDD"/>
    <w:rsid w:val="00FF2AFA"/>
    <w:rsid w:val="00FF3A6D"/>
    <w:rsid w:val="00FF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899D9FA"/>
  <w15:docId w15:val="{40441D16-E2BB-4FF1-82D5-6E19EA7C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18"/>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6418"/>
    <w:pPr>
      <w:tabs>
        <w:tab w:val="center" w:pos="4536"/>
        <w:tab w:val="right" w:pos="9072"/>
      </w:tabs>
    </w:pPr>
  </w:style>
  <w:style w:type="paragraph" w:styleId="Footer">
    <w:name w:val="footer"/>
    <w:basedOn w:val="Normal"/>
    <w:rsid w:val="00346418"/>
    <w:pPr>
      <w:tabs>
        <w:tab w:val="center" w:pos="4536"/>
        <w:tab w:val="right" w:pos="9072"/>
      </w:tabs>
    </w:pPr>
  </w:style>
  <w:style w:type="character" w:styleId="PageNumber">
    <w:name w:val="page number"/>
    <w:basedOn w:val="DefaultParagraphFont"/>
    <w:rsid w:val="00346418"/>
  </w:style>
  <w:style w:type="character" w:customStyle="1" w:styleId="HeaderChar">
    <w:name w:val="Header Char"/>
    <w:link w:val="Header"/>
    <w:rsid w:val="0092587B"/>
    <w:rPr>
      <w:sz w:val="24"/>
      <w:szCs w:val="24"/>
      <w:lang w:val="en-GB" w:eastAsia="en-US"/>
    </w:rPr>
  </w:style>
  <w:style w:type="paragraph" w:styleId="BalloonText">
    <w:name w:val="Balloon Text"/>
    <w:basedOn w:val="Normal"/>
    <w:link w:val="BalloonTextChar"/>
    <w:rsid w:val="001F0350"/>
    <w:rPr>
      <w:rFonts w:ascii="Tahoma" w:hAnsi="Tahoma" w:cs="Tahoma"/>
      <w:sz w:val="16"/>
      <w:szCs w:val="16"/>
    </w:rPr>
  </w:style>
  <w:style w:type="character" w:customStyle="1" w:styleId="BalloonTextChar">
    <w:name w:val="Balloon Text Char"/>
    <w:link w:val="BalloonText"/>
    <w:rsid w:val="001F0350"/>
    <w:rPr>
      <w:rFonts w:ascii="Tahoma" w:hAnsi="Tahoma" w:cs="Tahoma"/>
      <w:sz w:val="16"/>
      <w:szCs w:val="16"/>
      <w:lang w:val="en-GB" w:eastAsia="en-US"/>
    </w:rPr>
  </w:style>
  <w:style w:type="character" w:customStyle="1" w:styleId="Bodytext2">
    <w:name w:val="Body text (2)_"/>
    <w:link w:val="Bodytext20"/>
    <w:rsid w:val="00EC4BA8"/>
    <w:rPr>
      <w:sz w:val="22"/>
      <w:szCs w:val="22"/>
      <w:shd w:val="clear" w:color="auto" w:fill="FFFFFF"/>
    </w:rPr>
  </w:style>
  <w:style w:type="paragraph" w:customStyle="1" w:styleId="Bodytext20">
    <w:name w:val="Body text (2)"/>
    <w:basedOn w:val="Normal"/>
    <w:link w:val="Bodytext2"/>
    <w:rsid w:val="00EC4BA8"/>
    <w:pPr>
      <w:widowControl w:val="0"/>
      <w:shd w:val="clear" w:color="auto" w:fill="FFFFFF"/>
      <w:spacing w:before="240" w:after="240" w:line="269" w:lineRule="exact"/>
      <w:jc w:val="both"/>
    </w:pPr>
    <w:rPr>
      <w:sz w:val="22"/>
      <w:szCs w:val="22"/>
      <w:lang w:val="bg-BG" w:eastAsia="bg-BG"/>
    </w:rPr>
  </w:style>
  <w:style w:type="character" w:styleId="CommentReference">
    <w:name w:val="annotation reference"/>
    <w:rsid w:val="00EF6E7A"/>
    <w:rPr>
      <w:sz w:val="16"/>
      <w:szCs w:val="16"/>
    </w:rPr>
  </w:style>
  <w:style w:type="paragraph" w:styleId="CommentText">
    <w:name w:val="annotation text"/>
    <w:basedOn w:val="Normal"/>
    <w:link w:val="CommentTextChar"/>
    <w:rsid w:val="00EF6E7A"/>
    <w:rPr>
      <w:sz w:val="20"/>
      <w:szCs w:val="20"/>
    </w:rPr>
  </w:style>
  <w:style w:type="character" w:customStyle="1" w:styleId="CommentTextChar">
    <w:name w:val="Comment Text Char"/>
    <w:link w:val="CommentText"/>
    <w:rsid w:val="00EF6E7A"/>
    <w:rPr>
      <w:lang w:val="en-GB" w:eastAsia="en-US"/>
    </w:rPr>
  </w:style>
  <w:style w:type="paragraph" w:styleId="CommentSubject">
    <w:name w:val="annotation subject"/>
    <w:basedOn w:val="CommentText"/>
    <w:next w:val="CommentText"/>
    <w:link w:val="CommentSubjectChar"/>
    <w:rsid w:val="00EF6E7A"/>
    <w:rPr>
      <w:b/>
      <w:bCs/>
    </w:rPr>
  </w:style>
  <w:style w:type="character" w:customStyle="1" w:styleId="CommentSubjectChar">
    <w:name w:val="Comment Subject Char"/>
    <w:link w:val="CommentSubject"/>
    <w:rsid w:val="00EF6E7A"/>
    <w:rPr>
      <w:b/>
      <w:bCs/>
      <w:lang w:val="en-GB" w:eastAsia="en-US"/>
    </w:rPr>
  </w:style>
  <w:style w:type="character" w:styleId="Hyperlink">
    <w:name w:val="Hyperlink"/>
    <w:uiPriority w:val="99"/>
    <w:unhideWhenUsed/>
    <w:rsid w:val="001D427D"/>
    <w:rPr>
      <w:color w:val="0000FF"/>
      <w:u w:val="single"/>
    </w:rPr>
  </w:style>
  <w:style w:type="paragraph" w:styleId="ListParagraph">
    <w:name w:val="List Paragraph"/>
    <w:basedOn w:val="Normal"/>
    <w:uiPriority w:val="34"/>
    <w:qFormat/>
    <w:rsid w:val="00362446"/>
    <w:pPr>
      <w:spacing w:after="200" w:line="276" w:lineRule="auto"/>
      <w:ind w:left="720"/>
      <w:contextualSpacing/>
    </w:pPr>
    <w:rPr>
      <w:rFonts w:ascii="Calibri" w:eastAsia="Calibri" w:hAnsi="Calibri"/>
      <w:sz w:val="22"/>
      <w:szCs w:val="22"/>
      <w:lang w:val="bg-BG"/>
    </w:rPr>
  </w:style>
  <w:style w:type="paragraph" w:styleId="PlainText">
    <w:name w:val="Plain Text"/>
    <w:basedOn w:val="Normal"/>
    <w:link w:val="PlainTextChar"/>
    <w:uiPriority w:val="99"/>
    <w:unhideWhenUsed/>
    <w:rsid w:val="000D1620"/>
    <w:rPr>
      <w:rFonts w:ascii="Calibri" w:eastAsia="Calibri" w:hAnsi="Calibri" w:cs="Consolas"/>
      <w:sz w:val="22"/>
      <w:szCs w:val="21"/>
      <w:lang w:val="bg-BG"/>
    </w:rPr>
  </w:style>
  <w:style w:type="character" w:customStyle="1" w:styleId="PlainTextChar">
    <w:name w:val="Plain Text Char"/>
    <w:link w:val="PlainText"/>
    <w:uiPriority w:val="99"/>
    <w:rsid w:val="000D1620"/>
    <w:rPr>
      <w:rFonts w:ascii="Calibri" w:eastAsia="Calibri" w:hAnsi="Calibri" w:cs="Consolas"/>
      <w:sz w:val="22"/>
      <w:szCs w:val="21"/>
      <w:lang w:eastAsia="en-US"/>
    </w:rPr>
  </w:style>
  <w:style w:type="character" w:customStyle="1" w:styleId="7Exact">
    <w:name w:val="Основен текст (7) Exact"/>
    <w:link w:val="7"/>
    <w:rsid w:val="00FB6D1C"/>
    <w:rPr>
      <w:rFonts w:ascii="MS Reference Sans Serif" w:eastAsia="MS Reference Sans Serif" w:hAnsi="MS Reference Sans Serif" w:cs="MS Reference Sans Serif"/>
      <w:sz w:val="13"/>
      <w:szCs w:val="13"/>
      <w:shd w:val="clear" w:color="auto" w:fill="FFFFFF"/>
    </w:rPr>
  </w:style>
  <w:style w:type="character" w:customStyle="1" w:styleId="4">
    <w:name w:val="Основен текст (4)_"/>
    <w:link w:val="40"/>
    <w:rsid w:val="00FB6D1C"/>
    <w:rPr>
      <w:rFonts w:ascii="MS Reference Sans Serif" w:eastAsia="MS Reference Sans Serif" w:hAnsi="MS Reference Sans Serif" w:cs="MS Reference Sans Serif"/>
      <w:b/>
      <w:bCs/>
      <w:sz w:val="21"/>
      <w:szCs w:val="21"/>
      <w:shd w:val="clear" w:color="auto" w:fill="FFFFFF"/>
    </w:rPr>
  </w:style>
  <w:style w:type="character" w:customStyle="1" w:styleId="2">
    <w:name w:val="Основен текст (2)_"/>
    <w:link w:val="20"/>
    <w:rsid w:val="00FB6D1C"/>
    <w:rPr>
      <w:rFonts w:ascii="MS Reference Sans Serif" w:eastAsia="MS Reference Sans Serif" w:hAnsi="MS Reference Sans Serif" w:cs="MS Reference Sans Serif"/>
      <w:sz w:val="21"/>
      <w:szCs w:val="21"/>
      <w:shd w:val="clear" w:color="auto" w:fill="FFFFFF"/>
    </w:rPr>
  </w:style>
  <w:style w:type="character" w:customStyle="1" w:styleId="21">
    <w:name w:val="Основен текст (2) + Удебелен"/>
    <w:rsid w:val="00FB6D1C"/>
    <w:rPr>
      <w:rFonts w:ascii="MS Reference Sans Serif" w:eastAsia="MS Reference Sans Serif" w:hAnsi="MS Reference Sans Serif" w:cs="MS Reference Sans Serif"/>
      <w:b/>
      <w:bCs/>
      <w:i w:val="0"/>
      <w:iCs w:val="0"/>
      <w:smallCaps w:val="0"/>
      <w:strike w:val="0"/>
      <w:color w:val="000000"/>
      <w:spacing w:val="0"/>
      <w:w w:val="100"/>
      <w:position w:val="0"/>
      <w:sz w:val="21"/>
      <w:szCs w:val="21"/>
      <w:u w:val="none"/>
      <w:lang w:val="bg-BG" w:eastAsia="bg-BG" w:bidi="bg-BG"/>
    </w:rPr>
  </w:style>
  <w:style w:type="character" w:customStyle="1" w:styleId="41">
    <w:name w:val="Основен текст (4) + Не е удебелен"/>
    <w:rsid w:val="00FB6D1C"/>
    <w:rPr>
      <w:rFonts w:ascii="MS Reference Sans Serif" w:eastAsia="MS Reference Sans Serif" w:hAnsi="MS Reference Sans Serif" w:cs="MS Reference Sans Serif"/>
      <w:b/>
      <w:bCs/>
      <w:i w:val="0"/>
      <w:iCs w:val="0"/>
      <w:smallCaps w:val="0"/>
      <w:strike w:val="0"/>
      <w:color w:val="000000"/>
      <w:spacing w:val="0"/>
      <w:w w:val="100"/>
      <w:position w:val="0"/>
      <w:sz w:val="21"/>
      <w:szCs w:val="21"/>
      <w:u w:val="none"/>
      <w:lang w:val="bg-BG" w:eastAsia="bg-BG" w:bidi="bg-BG"/>
    </w:rPr>
  </w:style>
  <w:style w:type="paragraph" w:customStyle="1" w:styleId="40">
    <w:name w:val="Основен текст (4)"/>
    <w:basedOn w:val="Normal"/>
    <w:link w:val="4"/>
    <w:rsid w:val="00FB6D1C"/>
    <w:pPr>
      <w:widowControl w:val="0"/>
      <w:shd w:val="clear" w:color="auto" w:fill="FFFFFF"/>
      <w:spacing w:line="283" w:lineRule="exact"/>
    </w:pPr>
    <w:rPr>
      <w:rFonts w:ascii="MS Reference Sans Serif" w:eastAsia="MS Reference Sans Serif" w:hAnsi="MS Reference Sans Serif" w:cs="MS Reference Sans Serif"/>
      <w:b/>
      <w:bCs/>
      <w:sz w:val="21"/>
      <w:szCs w:val="21"/>
      <w:lang w:val="bg-BG" w:eastAsia="bg-BG"/>
    </w:rPr>
  </w:style>
  <w:style w:type="paragraph" w:customStyle="1" w:styleId="7">
    <w:name w:val="Основен текст (7)"/>
    <w:basedOn w:val="Normal"/>
    <w:link w:val="7Exact"/>
    <w:rsid w:val="00FB6D1C"/>
    <w:pPr>
      <w:widowControl w:val="0"/>
      <w:shd w:val="clear" w:color="auto" w:fill="FFFFFF"/>
      <w:spacing w:line="182" w:lineRule="exact"/>
      <w:jc w:val="both"/>
    </w:pPr>
    <w:rPr>
      <w:rFonts w:ascii="MS Reference Sans Serif" w:eastAsia="MS Reference Sans Serif" w:hAnsi="MS Reference Sans Serif" w:cs="MS Reference Sans Serif"/>
      <w:sz w:val="13"/>
      <w:szCs w:val="13"/>
      <w:lang w:val="bg-BG" w:eastAsia="bg-BG"/>
    </w:rPr>
  </w:style>
  <w:style w:type="paragraph" w:customStyle="1" w:styleId="20">
    <w:name w:val="Основен текст (2)"/>
    <w:basedOn w:val="Normal"/>
    <w:link w:val="2"/>
    <w:rsid w:val="00FB6D1C"/>
    <w:pPr>
      <w:widowControl w:val="0"/>
      <w:shd w:val="clear" w:color="auto" w:fill="FFFFFF"/>
      <w:spacing w:before="780" w:after="780" w:line="278" w:lineRule="exact"/>
      <w:jc w:val="both"/>
    </w:pPr>
    <w:rPr>
      <w:rFonts w:ascii="MS Reference Sans Serif" w:eastAsia="MS Reference Sans Serif" w:hAnsi="MS Reference Sans Serif" w:cs="MS Reference Sans Serif"/>
      <w:sz w:val="21"/>
      <w:szCs w:val="21"/>
      <w:lang w:val="bg-BG" w:eastAsia="bg-BG"/>
    </w:rPr>
  </w:style>
  <w:style w:type="character" w:customStyle="1" w:styleId="20pt">
    <w:name w:val="Основен текст (2) + Курсив;Разредка 0 pt"/>
    <w:rsid w:val="0055592C"/>
    <w:rPr>
      <w:rFonts w:ascii="MS Reference Sans Serif" w:eastAsia="MS Reference Sans Serif" w:hAnsi="MS Reference Sans Serif" w:cs="MS Reference Sans Serif"/>
      <w:b w:val="0"/>
      <w:bCs w:val="0"/>
      <w:i/>
      <w:iCs/>
      <w:smallCaps w:val="0"/>
      <w:strike w:val="0"/>
      <w:color w:val="000000"/>
      <w:spacing w:val="-10"/>
      <w:w w:val="100"/>
      <w:position w:val="0"/>
      <w:sz w:val="20"/>
      <w:szCs w:val="20"/>
      <w:u w:val="none"/>
      <w:shd w:val="clear" w:color="auto" w:fill="FFFFFF"/>
      <w:lang w:val="bg-BG" w:eastAsia="bg-BG" w:bidi="bg-BG"/>
    </w:rPr>
  </w:style>
  <w:style w:type="character" w:customStyle="1" w:styleId="3Exact">
    <w:name w:val="Заглавие на изображение (3) Exact"/>
    <w:link w:val="3"/>
    <w:rsid w:val="0055592C"/>
    <w:rPr>
      <w:rFonts w:ascii="Book Antiqua" w:eastAsia="Book Antiqua" w:hAnsi="Book Antiqua" w:cs="Book Antiqua"/>
      <w:spacing w:val="-10"/>
      <w:w w:val="200"/>
      <w:sz w:val="10"/>
      <w:szCs w:val="10"/>
      <w:shd w:val="clear" w:color="auto" w:fill="FFFFFF"/>
    </w:rPr>
  </w:style>
  <w:style w:type="character" w:customStyle="1" w:styleId="6">
    <w:name w:val="Основен текст (6)_"/>
    <w:link w:val="60"/>
    <w:rsid w:val="0055592C"/>
    <w:rPr>
      <w:rFonts w:ascii="MS Reference Sans Serif" w:eastAsia="MS Reference Sans Serif" w:hAnsi="MS Reference Sans Serif" w:cs="MS Reference Sans Serif"/>
      <w:i/>
      <w:iCs/>
      <w:spacing w:val="-10"/>
      <w:shd w:val="clear" w:color="auto" w:fill="FFFFFF"/>
    </w:rPr>
  </w:style>
  <w:style w:type="character" w:customStyle="1" w:styleId="60pt">
    <w:name w:val="Основен текст (6) + Не е курсив;Разредка 0 pt"/>
    <w:rsid w:val="0055592C"/>
    <w:rPr>
      <w:rFonts w:ascii="MS Reference Sans Serif" w:eastAsia="MS Reference Sans Serif" w:hAnsi="MS Reference Sans Serif" w:cs="MS Reference Sans Serif"/>
      <w:b w:val="0"/>
      <w:bCs w:val="0"/>
      <w:i/>
      <w:iCs/>
      <w:smallCaps w:val="0"/>
      <w:strike w:val="0"/>
      <w:color w:val="000000"/>
      <w:spacing w:val="0"/>
      <w:w w:val="100"/>
      <w:position w:val="0"/>
      <w:sz w:val="20"/>
      <w:szCs w:val="20"/>
      <w:u w:val="none"/>
      <w:lang w:val="bg-BG" w:eastAsia="bg-BG" w:bidi="bg-BG"/>
    </w:rPr>
  </w:style>
  <w:style w:type="paragraph" w:customStyle="1" w:styleId="3">
    <w:name w:val="Заглавие на изображение (3)"/>
    <w:basedOn w:val="Normal"/>
    <w:link w:val="3Exact"/>
    <w:rsid w:val="0055592C"/>
    <w:pPr>
      <w:widowControl w:val="0"/>
      <w:shd w:val="clear" w:color="auto" w:fill="FFFFFF"/>
      <w:spacing w:line="0" w:lineRule="atLeast"/>
    </w:pPr>
    <w:rPr>
      <w:rFonts w:ascii="Book Antiqua" w:eastAsia="Book Antiqua" w:hAnsi="Book Antiqua" w:cs="Book Antiqua"/>
      <w:spacing w:val="-10"/>
      <w:w w:val="200"/>
      <w:sz w:val="10"/>
      <w:szCs w:val="10"/>
      <w:lang w:val="bg-BG" w:eastAsia="bg-BG"/>
    </w:rPr>
  </w:style>
  <w:style w:type="paragraph" w:customStyle="1" w:styleId="60">
    <w:name w:val="Основен текст (6)"/>
    <w:basedOn w:val="Normal"/>
    <w:link w:val="6"/>
    <w:rsid w:val="0055592C"/>
    <w:pPr>
      <w:widowControl w:val="0"/>
      <w:shd w:val="clear" w:color="auto" w:fill="FFFFFF"/>
      <w:spacing w:line="360" w:lineRule="exact"/>
      <w:ind w:hanging="440"/>
      <w:jc w:val="both"/>
    </w:pPr>
    <w:rPr>
      <w:rFonts w:ascii="MS Reference Sans Serif" w:eastAsia="MS Reference Sans Serif" w:hAnsi="MS Reference Sans Serif" w:cs="MS Reference Sans Serif"/>
      <w:i/>
      <w:iCs/>
      <w:spacing w:val="-10"/>
      <w:sz w:val="20"/>
      <w:szCs w:val="20"/>
      <w:lang w:val="bg-BG" w:eastAsia="bg-BG"/>
    </w:rPr>
  </w:style>
  <w:style w:type="character" w:customStyle="1" w:styleId="Bodytext2BoldItalic">
    <w:name w:val="Body text (2) + Bold;Italic"/>
    <w:rsid w:val="00B87586"/>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bg-BG" w:eastAsia="bg-BG" w:bidi="bg-BG"/>
    </w:rPr>
  </w:style>
  <w:style w:type="character" w:customStyle="1" w:styleId="Bodytext2Italic">
    <w:name w:val="Body text (2) + Italic"/>
    <w:rsid w:val="00B875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bg-BG" w:eastAsia="bg-BG" w:bidi="bg-BG"/>
    </w:rPr>
  </w:style>
  <w:style w:type="character" w:customStyle="1" w:styleId="Bodytext295pt">
    <w:name w:val="Body text (2) + 9;5 pt"/>
    <w:rsid w:val="00B8758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bg-BG" w:eastAsia="bg-BG" w:bidi="bg-BG"/>
    </w:rPr>
  </w:style>
  <w:style w:type="character" w:customStyle="1" w:styleId="Bodytext4">
    <w:name w:val="Body text (4)_"/>
    <w:link w:val="Bodytext40"/>
    <w:rsid w:val="00B87586"/>
    <w:rPr>
      <w:i/>
      <w:iCs/>
      <w:sz w:val="28"/>
      <w:szCs w:val="28"/>
      <w:shd w:val="clear" w:color="auto" w:fill="FFFFFF"/>
    </w:rPr>
  </w:style>
  <w:style w:type="character" w:customStyle="1" w:styleId="Bodytext4NotItalic">
    <w:name w:val="Body text (4) + Not Italic"/>
    <w:rsid w:val="00B87586"/>
    <w:rPr>
      <w:rFonts w:ascii="Times New Roman" w:eastAsia="Times New Roman" w:hAnsi="Times New Roman" w:cs="Times New Roman"/>
      <w:b w:val="0"/>
      <w:bCs w:val="0"/>
      <w:i/>
      <w:iCs/>
      <w:smallCaps w:val="0"/>
      <w:strike w:val="0"/>
      <w:color w:val="000000"/>
      <w:spacing w:val="0"/>
      <w:w w:val="100"/>
      <w:position w:val="0"/>
      <w:sz w:val="28"/>
      <w:szCs w:val="28"/>
      <w:u w:val="none"/>
      <w:lang w:val="bg-BG" w:eastAsia="bg-BG" w:bidi="bg-BG"/>
    </w:rPr>
  </w:style>
  <w:style w:type="character" w:customStyle="1" w:styleId="Bodytext495ptNotItalic">
    <w:name w:val="Body text (4) + 9;5 pt;Not Italic"/>
    <w:rsid w:val="00B87586"/>
    <w:rPr>
      <w:rFonts w:ascii="Times New Roman" w:eastAsia="Times New Roman" w:hAnsi="Times New Roman" w:cs="Times New Roman"/>
      <w:b w:val="0"/>
      <w:bCs w:val="0"/>
      <w:i/>
      <w:iCs/>
      <w:smallCaps w:val="0"/>
      <w:strike w:val="0"/>
      <w:color w:val="000000"/>
      <w:spacing w:val="0"/>
      <w:w w:val="100"/>
      <w:position w:val="0"/>
      <w:sz w:val="19"/>
      <w:szCs w:val="19"/>
      <w:u w:val="none"/>
      <w:lang w:val="bg-BG" w:eastAsia="bg-BG" w:bidi="bg-BG"/>
    </w:rPr>
  </w:style>
  <w:style w:type="character" w:customStyle="1" w:styleId="Bodytext2Bold">
    <w:name w:val="Body text (2) + Bold"/>
    <w:rsid w:val="00B8758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bg-BG" w:eastAsia="bg-BG" w:bidi="bg-BG"/>
    </w:rPr>
  </w:style>
  <w:style w:type="paragraph" w:customStyle="1" w:styleId="Bodytext40">
    <w:name w:val="Body text (4)"/>
    <w:basedOn w:val="Normal"/>
    <w:link w:val="Bodytext4"/>
    <w:rsid w:val="00B87586"/>
    <w:pPr>
      <w:widowControl w:val="0"/>
      <w:shd w:val="clear" w:color="auto" w:fill="FFFFFF"/>
      <w:spacing w:before="240" w:line="371" w:lineRule="exact"/>
      <w:jc w:val="both"/>
    </w:pPr>
    <w:rPr>
      <w:i/>
      <w:iCs/>
      <w:sz w:val="28"/>
      <w:szCs w:val="28"/>
      <w:lang w:val="bg-BG" w:eastAsia="bg-BG"/>
    </w:rPr>
  </w:style>
  <w:style w:type="character" w:customStyle="1" w:styleId="Bodytext4NotBold">
    <w:name w:val="Body text (4) + Not Bold"/>
    <w:rsid w:val="0000612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Heading2">
    <w:name w:val="Heading #2_"/>
    <w:rsid w:val="00006127"/>
    <w:rPr>
      <w:rFonts w:ascii="Times New Roman" w:eastAsia="Times New Roman" w:hAnsi="Times New Roman" w:cs="Times New Roman"/>
      <w:b/>
      <w:bCs/>
      <w:i w:val="0"/>
      <w:iCs w:val="0"/>
      <w:smallCaps w:val="0"/>
      <w:strike w:val="0"/>
      <w:u w:val="none"/>
    </w:rPr>
  </w:style>
  <w:style w:type="character" w:customStyle="1" w:styleId="Heading20">
    <w:name w:val="Heading #2"/>
    <w:rsid w:val="00006127"/>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styleId="FollowedHyperlink">
    <w:name w:val="FollowedHyperlink"/>
    <w:rsid w:val="00252E9F"/>
    <w:rPr>
      <w:color w:val="800080"/>
      <w:u w:val="single"/>
    </w:rPr>
  </w:style>
  <w:style w:type="paragraph" w:customStyle="1" w:styleId="Default">
    <w:name w:val="Default"/>
    <w:rsid w:val="008070D5"/>
    <w:pPr>
      <w:autoSpaceDE w:val="0"/>
      <w:autoSpaceDN w:val="0"/>
      <w:adjustRightInd w:val="0"/>
    </w:pPr>
    <w:rPr>
      <w:color w:val="000000"/>
      <w:sz w:val="24"/>
      <w:szCs w:val="24"/>
      <w:lang w:val="bg-BG" w:eastAsia="bg-BG"/>
    </w:rPr>
  </w:style>
  <w:style w:type="paragraph" w:styleId="ListBullet">
    <w:name w:val="List Bullet"/>
    <w:basedOn w:val="Normal"/>
    <w:rsid w:val="009A6DAE"/>
    <w:pPr>
      <w:numPr>
        <w:numId w:val="24"/>
      </w:numPr>
      <w:contextualSpacing/>
    </w:p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SUPE"/>
    <w:link w:val="SUPERSChar"/>
    <w:uiPriority w:val="99"/>
    <w:rsid w:val="000E55A3"/>
    <w:rPr>
      <w:vertAlign w:val="superscript"/>
    </w:rPr>
  </w:style>
  <w:style w:type="paragraph" w:styleId="FootnoteText">
    <w:name w:val="footnote text"/>
    <w:aliases w:val="stile 1,Footnote1,Footnote2,Footnote3,Footnote4,Footnote5,Footnote6,Footnote7,Footnote8,Footnote9,Footnote10,Footnote11,Footnote21,Footnote31,Footnote41,Footnote51,Footnote61,Footnote71,Footnote81,Footnote91,Fußnote,Fußnotentext arial,fn"/>
    <w:basedOn w:val="Normal"/>
    <w:link w:val="FootnoteTextChar"/>
    <w:uiPriority w:val="99"/>
    <w:rsid w:val="000E55A3"/>
    <w:pPr>
      <w:suppressAutoHyphens/>
      <w:spacing w:line="180" w:lineRule="exact"/>
    </w:pPr>
    <w:rPr>
      <w:rFonts w:ascii="Arial" w:eastAsia="Times New Roman" w:hAnsi="Arial" w:cs="Arial"/>
      <w:sz w:val="18"/>
      <w:szCs w:val="18"/>
      <w:lang w:eastAsia="ar-SA"/>
    </w:rPr>
  </w:style>
  <w:style w:type="character" w:customStyle="1" w:styleId="FootnoteTextChar">
    <w:name w:val="Footnote Text Char"/>
    <w:aliases w:val="stile 1 Char,Footnote1 Char,Footnote2 Char,Footnote3 Char,Footnote4 Char,Footnote5 Char,Footnote6 Char,Footnote7 Char,Footnote8 Char,Footnote9 Char,Footnote10 Char,Footnote11 Char,Footnote21 Char,Footnote31 Char,Footnote41 Char"/>
    <w:basedOn w:val="DefaultParagraphFont"/>
    <w:link w:val="FootnoteText"/>
    <w:uiPriority w:val="99"/>
    <w:rsid w:val="000E55A3"/>
    <w:rPr>
      <w:rFonts w:ascii="Arial" w:eastAsia="Times New Roman" w:hAnsi="Arial" w:cs="Arial"/>
      <w:sz w:val="18"/>
      <w:szCs w:val="18"/>
      <w:lang w:val="en-GB" w:eastAsia="ar-SA"/>
    </w:rPr>
  </w:style>
  <w:style w:type="paragraph" w:customStyle="1" w:styleId="SUPERSChar">
    <w:name w:val="SUPERS Char"/>
    <w:aliases w:val="EN Footnote Reference Char"/>
    <w:basedOn w:val="Normal"/>
    <w:link w:val="FootnoteReference"/>
    <w:uiPriority w:val="99"/>
    <w:rsid w:val="000E55A3"/>
    <w:pPr>
      <w:spacing w:after="160" w:line="240" w:lineRule="exact"/>
    </w:pPr>
    <w:rPr>
      <w:sz w:val="20"/>
      <w:szCs w:val="20"/>
      <w:vertAlign w:val="superscript"/>
      <w:lang w:val="en-US"/>
    </w:rPr>
  </w:style>
  <w:style w:type="paragraph" w:customStyle="1" w:styleId="Text1">
    <w:name w:val="Text 1"/>
    <w:basedOn w:val="Normal"/>
    <w:rsid w:val="000E55A3"/>
    <w:pPr>
      <w:suppressAutoHyphens/>
      <w:spacing w:after="240"/>
      <w:ind w:left="482"/>
      <w:jc w:val="both"/>
    </w:pPr>
    <w:rPr>
      <w:rFonts w:eastAsia="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0711">
      <w:bodyDiv w:val="1"/>
      <w:marLeft w:val="0"/>
      <w:marRight w:val="0"/>
      <w:marTop w:val="0"/>
      <w:marBottom w:val="0"/>
      <w:divBdr>
        <w:top w:val="none" w:sz="0" w:space="0" w:color="auto"/>
        <w:left w:val="none" w:sz="0" w:space="0" w:color="auto"/>
        <w:bottom w:val="none" w:sz="0" w:space="0" w:color="auto"/>
        <w:right w:val="none" w:sz="0" w:space="0" w:color="auto"/>
      </w:divBdr>
    </w:div>
    <w:div w:id="239599735">
      <w:bodyDiv w:val="1"/>
      <w:marLeft w:val="0"/>
      <w:marRight w:val="0"/>
      <w:marTop w:val="0"/>
      <w:marBottom w:val="0"/>
      <w:divBdr>
        <w:top w:val="none" w:sz="0" w:space="0" w:color="auto"/>
        <w:left w:val="none" w:sz="0" w:space="0" w:color="auto"/>
        <w:bottom w:val="none" w:sz="0" w:space="0" w:color="auto"/>
        <w:right w:val="none" w:sz="0" w:space="0" w:color="auto"/>
      </w:divBdr>
    </w:div>
    <w:div w:id="393773041">
      <w:bodyDiv w:val="1"/>
      <w:marLeft w:val="0"/>
      <w:marRight w:val="0"/>
      <w:marTop w:val="0"/>
      <w:marBottom w:val="0"/>
      <w:divBdr>
        <w:top w:val="none" w:sz="0" w:space="0" w:color="auto"/>
        <w:left w:val="none" w:sz="0" w:space="0" w:color="auto"/>
        <w:bottom w:val="none" w:sz="0" w:space="0" w:color="auto"/>
        <w:right w:val="none" w:sz="0" w:space="0" w:color="auto"/>
      </w:divBdr>
    </w:div>
    <w:div w:id="586118172">
      <w:bodyDiv w:val="1"/>
      <w:marLeft w:val="0"/>
      <w:marRight w:val="0"/>
      <w:marTop w:val="0"/>
      <w:marBottom w:val="0"/>
      <w:divBdr>
        <w:top w:val="none" w:sz="0" w:space="0" w:color="auto"/>
        <w:left w:val="none" w:sz="0" w:space="0" w:color="auto"/>
        <w:bottom w:val="none" w:sz="0" w:space="0" w:color="auto"/>
        <w:right w:val="none" w:sz="0" w:space="0" w:color="auto"/>
      </w:divBdr>
    </w:div>
    <w:div w:id="911618673">
      <w:bodyDiv w:val="1"/>
      <w:marLeft w:val="0"/>
      <w:marRight w:val="0"/>
      <w:marTop w:val="0"/>
      <w:marBottom w:val="0"/>
      <w:divBdr>
        <w:top w:val="none" w:sz="0" w:space="0" w:color="auto"/>
        <w:left w:val="none" w:sz="0" w:space="0" w:color="auto"/>
        <w:bottom w:val="none" w:sz="0" w:space="0" w:color="auto"/>
        <w:right w:val="none" w:sz="0" w:space="0" w:color="auto"/>
      </w:divBdr>
    </w:div>
    <w:div w:id="921640679">
      <w:bodyDiv w:val="1"/>
      <w:marLeft w:val="0"/>
      <w:marRight w:val="0"/>
      <w:marTop w:val="0"/>
      <w:marBottom w:val="0"/>
      <w:divBdr>
        <w:top w:val="none" w:sz="0" w:space="0" w:color="auto"/>
        <w:left w:val="none" w:sz="0" w:space="0" w:color="auto"/>
        <w:bottom w:val="none" w:sz="0" w:space="0" w:color="auto"/>
        <w:right w:val="none" w:sz="0" w:space="0" w:color="auto"/>
      </w:divBdr>
    </w:div>
    <w:div w:id="1177379690">
      <w:bodyDiv w:val="1"/>
      <w:marLeft w:val="0"/>
      <w:marRight w:val="0"/>
      <w:marTop w:val="0"/>
      <w:marBottom w:val="0"/>
      <w:divBdr>
        <w:top w:val="none" w:sz="0" w:space="0" w:color="auto"/>
        <w:left w:val="none" w:sz="0" w:space="0" w:color="auto"/>
        <w:bottom w:val="none" w:sz="0" w:space="0" w:color="auto"/>
        <w:right w:val="none" w:sz="0" w:space="0" w:color="auto"/>
      </w:divBdr>
    </w:div>
    <w:div w:id="1182206475">
      <w:bodyDiv w:val="1"/>
      <w:marLeft w:val="0"/>
      <w:marRight w:val="0"/>
      <w:marTop w:val="0"/>
      <w:marBottom w:val="0"/>
      <w:divBdr>
        <w:top w:val="none" w:sz="0" w:space="0" w:color="auto"/>
        <w:left w:val="none" w:sz="0" w:space="0" w:color="auto"/>
        <w:bottom w:val="none" w:sz="0" w:space="0" w:color="auto"/>
        <w:right w:val="none" w:sz="0" w:space="0" w:color="auto"/>
      </w:divBdr>
    </w:div>
    <w:div w:id="1354382701">
      <w:bodyDiv w:val="1"/>
      <w:marLeft w:val="0"/>
      <w:marRight w:val="0"/>
      <w:marTop w:val="0"/>
      <w:marBottom w:val="0"/>
      <w:divBdr>
        <w:top w:val="none" w:sz="0" w:space="0" w:color="auto"/>
        <w:left w:val="none" w:sz="0" w:space="0" w:color="auto"/>
        <w:bottom w:val="none" w:sz="0" w:space="0" w:color="auto"/>
        <w:right w:val="none" w:sz="0" w:space="0" w:color="auto"/>
      </w:divBdr>
    </w:div>
    <w:div w:id="1406343906">
      <w:bodyDiv w:val="1"/>
      <w:marLeft w:val="0"/>
      <w:marRight w:val="0"/>
      <w:marTop w:val="0"/>
      <w:marBottom w:val="0"/>
      <w:divBdr>
        <w:top w:val="none" w:sz="0" w:space="0" w:color="auto"/>
        <w:left w:val="none" w:sz="0" w:space="0" w:color="auto"/>
        <w:bottom w:val="none" w:sz="0" w:space="0" w:color="auto"/>
        <w:right w:val="none" w:sz="0" w:space="0" w:color="auto"/>
      </w:divBdr>
    </w:div>
    <w:div w:id="1570270008">
      <w:bodyDiv w:val="1"/>
      <w:marLeft w:val="0"/>
      <w:marRight w:val="0"/>
      <w:marTop w:val="0"/>
      <w:marBottom w:val="0"/>
      <w:divBdr>
        <w:top w:val="none" w:sz="0" w:space="0" w:color="auto"/>
        <w:left w:val="none" w:sz="0" w:space="0" w:color="auto"/>
        <w:bottom w:val="none" w:sz="0" w:space="0" w:color="auto"/>
        <w:right w:val="none" w:sz="0" w:space="0" w:color="auto"/>
      </w:divBdr>
    </w:div>
    <w:div w:id="1637955990">
      <w:bodyDiv w:val="1"/>
      <w:marLeft w:val="0"/>
      <w:marRight w:val="0"/>
      <w:marTop w:val="0"/>
      <w:marBottom w:val="0"/>
      <w:divBdr>
        <w:top w:val="none" w:sz="0" w:space="0" w:color="auto"/>
        <w:left w:val="none" w:sz="0" w:space="0" w:color="auto"/>
        <w:bottom w:val="none" w:sz="0" w:space="0" w:color="auto"/>
        <w:right w:val="none" w:sz="0" w:space="0" w:color="auto"/>
      </w:divBdr>
    </w:div>
    <w:div w:id="1733043746">
      <w:bodyDiv w:val="1"/>
      <w:marLeft w:val="0"/>
      <w:marRight w:val="0"/>
      <w:marTop w:val="0"/>
      <w:marBottom w:val="0"/>
      <w:divBdr>
        <w:top w:val="none" w:sz="0" w:space="0" w:color="auto"/>
        <w:left w:val="none" w:sz="0" w:space="0" w:color="auto"/>
        <w:bottom w:val="none" w:sz="0" w:space="0" w:color="auto"/>
        <w:right w:val="none" w:sz="0" w:space="0" w:color="auto"/>
      </w:divBdr>
    </w:div>
    <w:div w:id="1758286128">
      <w:bodyDiv w:val="1"/>
      <w:marLeft w:val="0"/>
      <w:marRight w:val="0"/>
      <w:marTop w:val="0"/>
      <w:marBottom w:val="0"/>
      <w:divBdr>
        <w:top w:val="none" w:sz="0" w:space="0" w:color="auto"/>
        <w:left w:val="none" w:sz="0" w:space="0" w:color="auto"/>
        <w:bottom w:val="none" w:sz="0" w:space="0" w:color="auto"/>
        <w:right w:val="none" w:sz="0" w:space="0" w:color="auto"/>
      </w:divBdr>
    </w:div>
    <w:div w:id="1826357450">
      <w:bodyDiv w:val="1"/>
      <w:marLeft w:val="0"/>
      <w:marRight w:val="0"/>
      <w:marTop w:val="0"/>
      <w:marBottom w:val="0"/>
      <w:divBdr>
        <w:top w:val="none" w:sz="0" w:space="0" w:color="auto"/>
        <w:left w:val="none" w:sz="0" w:space="0" w:color="auto"/>
        <w:bottom w:val="none" w:sz="0" w:space="0" w:color="auto"/>
        <w:right w:val="none" w:sz="0" w:space="0" w:color="auto"/>
      </w:divBdr>
    </w:div>
    <w:div w:id="1875582724">
      <w:bodyDiv w:val="1"/>
      <w:marLeft w:val="0"/>
      <w:marRight w:val="0"/>
      <w:marTop w:val="0"/>
      <w:marBottom w:val="0"/>
      <w:divBdr>
        <w:top w:val="none" w:sz="0" w:space="0" w:color="auto"/>
        <w:left w:val="none" w:sz="0" w:space="0" w:color="auto"/>
        <w:bottom w:val="none" w:sz="0" w:space="0" w:color="auto"/>
        <w:right w:val="none" w:sz="0" w:space="0" w:color="auto"/>
      </w:divBdr>
    </w:div>
    <w:div w:id="2037080129">
      <w:bodyDiv w:val="1"/>
      <w:marLeft w:val="0"/>
      <w:marRight w:val="0"/>
      <w:marTop w:val="0"/>
      <w:marBottom w:val="0"/>
      <w:divBdr>
        <w:top w:val="none" w:sz="0" w:space="0" w:color="auto"/>
        <w:left w:val="none" w:sz="0" w:space="0" w:color="auto"/>
        <w:bottom w:val="none" w:sz="0" w:space="0" w:color="auto"/>
        <w:right w:val="none" w:sz="0" w:space="0" w:color="auto"/>
      </w:divBdr>
    </w:div>
    <w:div w:id="21291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48EB6-97A4-4FD5-9F1C-9799D912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MRRB</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KaracholovaK</dc:creator>
  <cp:lastModifiedBy>TATYANA NIKOLOVA ANGELCHEVA</cp:lastModifiedBy>
  <cp:revision>6</cp:revision>
  <cp:lastPrinted>2017-12-29T11:59:00Z</cp:lastPrinted>
  <dcterms:created xsi:type="dcterms:W3CDTF">2020-03-22T08:29:00Z</dcterms:created>
  <dcterms:modified xsi:type="dcterms:W3CDTF">2020-03-23T09:27:00Z</dcterms:modified>
</cp:coreProperties>
</file>